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29FD9C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jc w:val="center"/>
        <w:textAlignment w:val="auto"/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</w:pPr>
      <w:r>
        <w:rPr>
          <w:rFonts w:hint="default" w:ascii="黑体" w:hAnsi="黑体" w:eastAsia="黑体" w:cs="黑体"/>
          <w:b w:val="0"/>
          <w:kern w:val="0"/>
          <w:sz w:val="40"/>
          <w:szCs w:val="40"/>
          <w:lang w:val="en-US" w:eastAsia="zh-CN" w:bidi="ar"/>
        </w:rPr>
        <w:t>功能纳米与软物质研究院研究生申请学位创新性研究成果具体标准</w:t>
      </w:r>
    </w:p>
    <w:p w14:paraId="0ECF6D84">
      <w:pPr>
        <w:widowControl/>
        <w:spacing w:after="156" w:afterLines="50"/>
        <w:ind w:firstLine="640" w:firstLineChars="200"/>
        <w:jc w:val="left"/>
        <w:rPr>
          <w:rFonts w:hint="default" w:ascii="Times New Roman" w:hAnsi="Times New Roman" w:eastAsia="仿宋" w:cs="仿宋_GB2312"/>
          <w:kern w:val="0"/>
          <w:sz w:val="32"/>
          <w:szCs w:val="31"/>
          <w:lang w:bidi="ar"/>
        </w:rPr>
      </w:pPr>
      <w:r>
        <w:rPr>
          <w:rFonts w:hint="default" w:ascii="Times New Roman" w:hAnsi="Times New Roman" w:eastAsia="仿宋" w:cs="仿宋_GB2312"/>
          <w:kern w:val="0"/>
          <w:sz w:val="32"/>
          <w:szCs w:val="31"/>
          <w:lang w:bidi="ar"/>
        </w:rPr>
        <w:t>经功能纳米与软物质研究院、纳米科学技术学院学位评定分委员会讨论，对本单位研究生申请学位创新性研究成果提出如下要求：</w:t>
      </w:r>
      <w:bookmarkStart w:id="3" w:name="_GoBack"/>
      <w:bookmarkEnd w:id="3"/>
    </w:p>
    <w:tbl>
      <w:tblPr>
        <w:tblStyle w:val="10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1469"/>
        <w:gridCol w:w="3750"/>
        <w:gridCol w:w="4468"/>
        <w:gridCol w:w="2159"/>
        <w:gridCol w:w="1501"/>
      </w:tblGrid>
      <w:tr w14:paraId="14CF1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92" w:type="pct"/>
            <w:shd w:val="clear" w:color="auto" w:fill="auto"/>
            <w:vAlign w:val="center"/>
          </w:tcPr>
          <w:p w14:paraId="5EA15BB8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lang w:eastAsia="zh-CN"/>
              </w:rPr>
              <w:t>类型</w:t>
            </w:r>
          </w:p>
        </w:tc>
        <w:tc>
          <w:tcPr>
            <w:tcW w:w="518" w:type="pct"/>
            <w:vAlign w:val="center"/>
          </w:tcPr>
          <w:p w14:paraId="2FD4EA8B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lang w:eastAsia="zh-CN"/>
              </w:rPr>
              <w:t>第1类</w:t>
            </w:r>
          </w:p>
        </w:tc>
        <w:tc>
          <w:tcPr>
            <w:tcW w:w="1322" w:type="pct"/>
            <w:shd w:val="clear" w:color="auto" w:fill="auto"/>
            <w:vAlign w:val="center"/>
          </w:tcPr>
          <w:p w14:paraId="4CDA21EF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lang w:eastAsia="zh-CN"/>
              </w:rPr>
              <w:t>第2类</w:t>
            </w:r>
          </w:p>
        </w:tc>
        <w:tc>
          <w:tcPr>
            <w:tcW w:w="1575" w:type="pct"/>
            <w:shd w:val="clear" w:color="auto" w:fill="auto"/>
            <w:vAlign w:val="center"/>
          </w:tcPr>
          <w:p w14:paraId="67549FDE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lang w:eastAsia="zh-CN"/>
              </w:rPr>
              <w:t>第3类</w:t>
            </w:r>
          </w:p>
        </w:tc>
        <w:tc>
          <w:tcPr>
            <w:tcW w:w="761" w:type="pct"/>
            <w:shd w:val="clear" w:color="auto" w:fill="auto"/>
            <w:vAlign w:val="center"/>
          </w:tcPr>
          <w:p w14:paraId="144FAEB9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lang w:eastAsia="zh-CN"/>
              </w:rPr>
              <w:t>第4类</w:t>
            </w:r>
          </w:p>
        </w:tc>
        <w:tc>
          <w:tcPr>
            <w:tcW w:w="529" w:type="pct"/>
            <w:vMerge w:val="restart"/>
            <w:shd w:val="clear" w:color="auto" w:fill="auto"/>
            <w:vAlign w:val="center"/>
          </w:tcPr>
          <w:p w14:paraId="4FEEBCD5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黑体" w:cs="Times New Roman"/>
                <w:b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lang w:eastAsia="zh-CN"/>
              </w:rPr>
              <w:t>具体标准</w:t>
            </w:r>
          </w:p>
        </w:tc>
      </w:tr>
      <w:tr w14:paraId="53E9ED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292" w:type="pct"/>
            <w:shd w:val="clear" w:color="auto" w:fill="auto"/>
            <w:vAlign w:val="center"/>
          </w:tcPr>
          <w:p w14:paraId="67DCD71E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lang w:eastAsia="zh-CN"/>
              </w:rPr>
              <w:t>等级</w:t>
            </w:r>
          </w:p>
        </w:tc>
        <w:tc>
          <w:tcPr>
            <w:tcW w:w="518" w:type="pct"/>
            <w:vAlign w:val="center"/>
          </w:tcPr>
          <w:p w14:paraId="4B45A2D8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lang w:val="en-US" w:eastAsia="zh-CN"/>
              </w:rPr>
              <w:t>评阅结果</w:t>
            </w:r>
          </w:p>
        </w:tc>
        <w:tc>
          <w:tcPr>
            <w:tcW w:w="1322" w:type="pct"/>
            <w:shd w:val="clear" w:color="auto" w:fill="auto"/>
            <w:vAlign w:val="center"/>
          </w:tcPr>
          <w:p w14:paraId="0441245A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lang w:eastAsia="zh-CN"/>
              </w:rPr>
              <w:t>实践类成果</w:t>
            </w:r>
          </w:p>
        </w:tc>
        <w:tc>
          <w:tcPr>
            <w:tcW w:w="1575" w:type="pct"/>
            <w:shd w:val="clear" w:color="auto" w:fill="auto"/>
            <w:vAlign w:val="center"/>
          </w:tcPr>
          <w:p w14:paraId="2284113E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lang w:eastAsia="zh-CN"/>
              </w:rPr>
              <w:t>学术论文成果</w:t>
            </w:r>
          </w:p>
        </w:tc>
        <w:tc>
          <w:tcPr>
            <w:tcW w:w="761" w:type="pct"/>
            <w:shd w:val="clear" w:color="auto" w:fill="auto"/>
            <w:vAlign w:val="center"/>
          </w:tcPr>
          <w:p w14:paraId="4BD878C2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lang w:eastAsia="zh-CN"/>
              </w:rPr>
              <w:t>应用类成果</w:t>
            </w:r>
          </w:p>
        </w:tc>
        <w:tc>
          <w:tcPr>
            <w:tcW w:w="529" w:type="pct"/>
            <w:vMerge w:val="continue"/>
            <w:shd w:val="clear" w:color="auto" w:fill="auto"/>
            <w:vAlign w:val="center"/>
          </w:tcPr>
          <w:p w14:paraId="1A9EA9EF">
            <w:pPr>
              <w:pStyle w:val="4"/>
              <w:rPr>
                <w:rFonts w:hint="default" w:ascii="Times New Roman" w:hAnsi="Times New Roman" w:cs="Times New Roman"/>
              </w:rPr>
            </w:pPr>
          </w:p>
        </w:tc>
      </w:tr>
      <w:tr w14:paraId="7DC46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8" w:hRule="atLeast"/>
        </w:trPr>
        <w:tc>
          <w:tcPr>
            <w:tcW w:w="292" w:type="pct"/>
            <w:shd w:val="clear" w:color="auto" w:fill="auto"/>
            <w:vAlign w:val="center"/>
          </w:tcPr>
          <w:p w14:paraId="503A9A0C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21"/>
                <w:lang w:eastAsia="zh-CN"/>
              </w:rPr>
              <w:t>A</w:t>
            </w:r>
          </w:p>
        </w:tc>
        <w:tc>
          <w:tcPr>
            <w:tcW w:w="518" w:type="pct"/>
          </w:tcPr>
          <w:p w14:paraId="12A8E087">
            <w:pPr>
              <w:pStyle w:val="4"/>
              <w:jc w:val="both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22" w:type="pct"/>
            <w:shd w:val="clear" w:color="auto" w:fill="auto"/>
            <w:vAlign w:val="center"/>
          </w:tcPr>
          <w:p w14:paraId="47B20D47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1.作为主要完成人获创新创业“三大赛”国赛金奖/“大挑”特等奖（排名前三）；或创新创业“三大赛”国赛/“大挑”一等奖（排名前二）。</w:t>
            </w:r>
          </w:p>
          <w:p w14:paraId="2CFAEC8C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2.作为主要完成人获国家科技技术奖励（国家自然科学奖、国家技术发明奖、国家科学技术进步奖）（一等奖排名前五、二等奖排名前三）。</w:t>
            </w:r>
          </w:p>
          <w:p w14:paraId="6479BE4B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3.教育部高等学校科学研究优秀成果奖（科学技术和哲学社会科学）（一等奖排名前五、二等奖排名前三）。</w:t>
            </w:r>
          </w:p>
          <w:p w14:paraId="2837643D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4.主持国家级科研项目（结题验收通过）。</w:t>
            </w:r>
          </w:p>
          <w:p w14:paraId="5FF5B163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5.主持国家社会科学基金项目（结题验收通过）。</w:t>
            </w:r>
          </w:p>
        </w:tc>
        <w:tc>
          <w:tcPr>
            <w:tcW w:w="1575" w:type="pct"/>
            <w:shd w:val="clear" w:color="auto" w:fill="auto"/>
            <w:vAlign w:val="center"/>
          </w:tcPr>
          <w:p w14:paraId="6FA31288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1.</w:t>
            </w:r>
            <w:r>
              <w:rPr>
                <w:rFonts w:hint="eastAsia" w:eastAsia="仿宋" w:cs="Times New Roman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Nature、Science、Cell。</w:t>
            </w:r>
          </w:p>
          <w:p w14:paraId="3925AF17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2.</w:t>
            </w:r>
            <w:r>
              <w:rPr>
                <w:rFonts w:hint="eastAsia" w:eastAsia="仿宋" w:cs="Times New Roman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Nature系列，但不包括Nature Communications、Nature Protocols。</w:t>
            </w:r>
          </w:p>
          <w:p w14:paraId="5E0AD700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3.</w:t>
            </w:r>
            <w:r>
              <w:rPr>
                <w:rFonts w:hint="eastAsia" w:eastAsia="仿宋" w:cs="Times New Roman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Science系列，但不包括Science Advances。</w:t>
            </w:r>
          </w:p>
        </w:tc>
        <w:tc>
          <w:tcPr>
            <w:tcW w:w="761" w:type="pct"/>
            <w:shd w:val="clear" w:color="auto" w:fill="auto"/>
            <w:vAlign w:val="center"/>
          </w:tcPr>
          <w:p w14:paraId="4EE1A5BD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获省级以上专利奖。</w:t>
            </w:r>
          </w:p>
          <w:p w14:paraId="1C19F66E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主持制定专业领域相关国际标准或国家标准。</w:t>
            </w:r>
          </w:p>
        </w:tc>
        <w:tc>
          <w:tcPr>
            <w:tcW w:w="529" w:type="pct"/>
            <w:vMerge w:val="restart"/>
            <w:shd w:val="clear" w:color="auto" w:fill="auto"/>
            <w:vAlign w:val="center"/>
          </w:tcPr>
          <w:p w14:paraId="2B0F8DE3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18"/>
                <w:lang w:eastAsia="zh-CN"/>
              </w:rPr>
              <w:t>学术博士（以下</w:t>
            </w: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18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18"/>
                <w:lang w:eastAsia="zh-CN"/>
              </w:rPr>
              <w:t>项满足任意1项）：</w:t>
            </w:r>
          </w:p>
          <w:p w14:paraId="49E5DA8C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eastAsia="zh-CN"/>
              </w:rPr>
              <w:t>1.第1-3类C等及以上成果至少1项；</w:t>
            </w:r>
          </w:p>
          <w:p w14:paraId="17B3E380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eastAsia="zh-CN"/>
              </w:rPr>
              <w:t>2.第1-3类D等成果至少2项。</w:t>
            </w:r>
          </w:p>
          <w:p w14:paraId="405F6BA1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eastAsia="zh-CN"/>
              </w:rPr>
            </w:pPr>
          </w:p>
          <w:p w14:paraId="00844757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18"/>
                <w:lang w:eastAsia="zh-CN"/>
              </w:rPr>
              <w:t>专业博士（以下</w:t>
            </w: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18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18"/>
                <w:lang w:eastAsia="zh-CN"/>
              </w:rPr>
              <w:t>项满足任意1项）：</w:t>
            </w:r>
          </w:p>
          <w:p w14:paraId="7465851D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eastAsia="zh-CN"/>
              </w:rPr>
              <w:t>1. 第1-4类C等及以上成果至少1项；</w:t>
            </w:r>
          </w:p>
          <w:p w14:paraId="00BC0BE8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eastAsia="zh-CN"/>
              </w:rPr>
              <w:t>2.第1-4类D等成果至少2项，其中第4类成果限1项。</w:t>
            </w:r>
          </w:p>
          <w:p w14:paraId="2B0F3309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eastAsia="zh-CN"/>
              </w:rPr>
            </w:pPr>
          </w:p>
          <w:p w14:paraId="26B5EE37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18"/>
                <w:lang w:eastAsia="zh-CN"/>
              </w:rPr>
              <w:t>学术硕士：</w:t>
            </w:r>
          </w:p>
          <w:p w14:paraId="2C807DDC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eastAsia="zh-CN"/>
              </w:rPr>
              <w:t>第2-4类E等及以上成果至少1项。</w:t>
            </w:r>
          </w:p>
          <w:p w14:paraId="4B1411B1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eastAsia="zh-CN"/>
              </w:rPr>
            </w:pPr>
          </w:p>
          <w:p w14:paraId="588FD60B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18"/>
                <w:lang w:eastAsia="zh-CN"/>
              </w:rPr>
              <w:t>专业硕士：</w:t>
            </w:r>
          </w:p>
          <w:p w14:paraId="21135584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eastAsia="zh-CN"/>
              </w:rPr>
              <w:t>第2-4类F等及以上成果至少1项。</w:t>
            </w:r>
          </w:p>
        </w:tc>
      </w:tr>
      <w:tr w14:paraId="44E1F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8" w:hRule="atLeast"/>
        </w:trPr>
        <w:tc>
          <w:tcPr>
            <w:tcW w:w="292" w:type="pct"/>
            <w:shd w:val="clear" w:color="auto" w:fill="auto"/>
            <w:vAlign w:val="center"/>
          </w:tcPr>
          <w:p w14:paraId="722BCD58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21"/>
                <w:lang w:eastAsia="zh-CN"/>
              </w:rPr>
              <w:t>B</w:t>
            </w:r>
          </w:p>
        </w:tc>
        <w:tc>
          <w:tcPr>
            <w:tcW w:w="518" w:type="pct"/>
            <w:vAlign w:val="center"/>
          </w:tcPr>
          <w:p w14:paraId="4E548B20">
            <w:pPr>
              <w:pStyle w:val="4"/>
              <w:jc w:val="both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22" w:type="pct"/>
            <w:shd w:val="clear" w:color="auto" w:fill="auto"/>
            <w:vAlign w:val="center"/>
          </w:tcPr>
          <w:p w14:paraId="6C5A5236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1.作为主要完成人获创新创业“三大赛”国赛/“大挑”二等奖/三等奖排名第一。</w:t>
            </w:r>
          </w:p>
          <w:p w14:paraId="4D1E6A06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2.作为主要完成人获省级科技技术奖励（自然科学奖、技术发明奖、科学技术进步奖）（一等奖排名前五、二等奖排名前三）。</w:t>
            </w:r>
          </w:p>
          <w:p w14:paraId="7668DE67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3.作为主要完成人获得省级高等学校科学研究优秀成果奖（科学技术和哲学社会科学）（一等奖排名前五、二等奖排名前三）。</w:t>
            </w:r>
          </w:p>
          <w:p w14:paraId="5A827283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4.主持省部级科研项目（结题验收通过）。</w:t>
            </w:r>
          </w:p>
          <w:p w14:paraId="104FDD0D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5.主持教育部人文社会科学研究项目社会科学基金项目（结题验收通过）</w:t>
            </w:r>
            <w:r>
              <w:rPr>
                <w:rFonts w:hint="default" w:ascii="Times New Roman" w:hAnsi="Times New Roman" w:cs="Times New Roman"/>
              </w:rPr>
              <w:t>。</w:t>
            </w:r>
          </w:p>
        </w:tc>
        <w:tc>
          <w:tcPr>
            <w:tcW w:w="1575" w:type="pct"/>
            <w:shd w:val="clear" w:color="auto" w:fill="auto"/>
            <w:vAlign w:val="center"/>
          </w:tcPr>
          <w:p w14:paraId="36079CD3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bookmarkStart w:id="0" w:name="_Hlk181091452"/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领域内顶级期刊：</w:t>
            </w:r>
          </w:p>
          <w:bookmarkEnd w:id="0"/>
          <w:p w14:paraId="428D78BF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1. Nature Communications</w:t>
            </w:r>
          </w:p>
          <w:p w14:paraId="0392D80F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2. Science Advances</w:t>
            </w:r>
          </w:p>
          <w:p w14:paraId="7963C700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3. Energy &amp; Environmental Science</w:t>
            </w:r>
          </w:p>
          <w:p w14:paraId="5BA8B303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4. Chem</w:t>
            </w:r>
          </w:p>
          <w:p w14:paraId="4FD19D26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5. Joule</w:t>
            </w:r>
          </w:p>
          <w:p w14:paraId="75CA3E86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6. Physical Review Letters</w:t>
            </w:r>
          </w:p>
          <w:p w14:paraId="3664808B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7.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Angewandte Chemie-International Edition</w:t>
            </w:r>
          </w:p>
          <w:p w14:paraId="106BAC8C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8.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Journal of the American Chemical Society</w:t>
            </w:r>
          </w:p>
          <w:p w14:paraId="7C60490E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9.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Advanced Materials</w:t>
            </w:r>
          </w:p>
          <w:p w14:paraId="6F59DE69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10. Proceedings of the National Academy of Sciences of the United States of America</w:t>
            </w:r>
          </w:p>
          <w:p w14:paraId="5462852A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11. Cell Research</w:t>
            </w:r>
          </w:p>
          <w:p w14:paraId="21ABE2A5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12. Genes &amp; Development</w:t>
            </w:r>
          </w:p>
          <w:p w14:paraId="3FBD5BA9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13. Cell Chemical Biology</w:t>
            </w:r>
          </w:p>
          <w:p w14:paraId="6E293642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14. Cell Reports</w:t>
            </w:r>
          </w:p>
          <w:p w14:paraId="23400B58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15. Journal of Clinical Investigation</w:t>
            </w:r>
          </w:p>
          <w:p w14:paraId="6EFFD7A6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16. Journal of Experimental Medicine</w:t>
            </w:r>
          </w:p>
          <w:p w14:paraId="4B74CDBF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17. Matter</w:t>
            </w:r>
          </w:p>
          <w:p w14:paraId="4A01C2D1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18.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Proceedings of the IEEE</w:t>
            </w:r>
          </w:p>
          <w:p w14:paraId="299649E8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19.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Proceedings of the International Electron Devices Meeting</w:t>
            </w:r>
          </w:p>
          <w:p w14:paraId="2CC1D16E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20. National Science Review</w:t>
            </w:r>
          </w:p>
          <w:p w14:paraId="6FB74E1F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21. Cancer Cell</w:t>
            </w:r>
          </w:p>
          <w:p w14:paraId="1CFE1496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22. Cell Stem Cell</w:t>
            </w:r>
          </w:p>
          <w:p w14:paraId="405E8C11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23. Cell Metabolism</w:t>
            </w:r>
          </w:p>
          <w:p w14:paraId="6C46C129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24. Developmental Cell</w:t>
            </w:r>
          </w:p>
          <w:p w14:paraId="7F50933E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25. Neuron</w:t>
            </w:r>
          </w:p>
          <w:p w14:paraId="32272B4E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26. Immunity</w:t>
            </w:r>
          </w:p>
          <w:p w14:paraId="4269FA66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27. Molecular Cell</w:t>
            </w:r>
          </w:p>
        </w:tc>
        <w:tc>
          <w:tcPr>
            <w:tcW w:w="761" w:type="pct"/>
            <w:shd w:val="clear" w:color="auto" w:fill="auto"/>
            <w:vAlign w:val="center"/>
          </w:tcPr>
          <w:p w14:paraId="06A57D6E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获市级专利奖。</w:t>
            </w:r>
          </w:p>
          <w:p w14:paraId="0BD014A2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主持制定专业领域相关行业标准。</w:t>
            </w:r>
          </w:p>
        </w:tc>
        <w:tc>
          <w:tcPr>
            <w:tcW w:w="529" w:type="pct"/>
            <w:vMerge w:val="continue"/>
            <w:shd w:val="clear" w:color="auto" w:fill="auto"/>
            <w:vAlign w:val="center"/>
          </w:tcPr>
          <w:p w14:paraId="48B43855">
            <w:pPr>
              <w:pStyle w:val="4"/>
              <w:jc w:val="both"/>
              <w:rPr>
                <w:rFonts w:hint="default" w:ascii="Times New Roman" w:hAnsi="Times New Roman" w:cs="Times New Roman"/>
              </w:rPr>
            </w:pPr>
          </w:p>
        </w:tc>
      </w:tr>
      <w:tr w14:paraId="11FA6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3" w:hRule="atLeast"/>
        </w:trPr>
        <w:tc>
          <w:tcPr>
            <w:tcW w:w="292" w:type="pct"/>
            <w:shd w:val="clear" w:color="auto" w:fill="auto"/>
            <w:vAlign w:val="center"/>
          </w:tcPr>
          <w:p w14:paraId="2C086993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21"/>
                <w:lang w:eastAsia="zh-CN"/>
              </w:rPr>
              <w:t>C</w:t>
            </w:r>
          </w:p>
        </w:tc>
        <w:tc>
          <w:tcPr>
            <w:tcW w:w="518" w:type="pct"/>
            <w:vAlign w:val="center"/>
          </w:tcPr>
          <w:p w14:paraId="2ED7BCF9">
            <w:pPr>
              <w:pStyle w:val="4"/>
              <w:jc w:val="both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22" w:type="pct"/>
            <w:shd w:val="clear" w:color="auto" w:fill="auto"/>
            <w:vAlign w:val="center"/>
          </w:tcPr>
          <w:p w14:paraId="140E24B0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1.作为主要完成人获市级科技技术奖励（自然科学奖、技术发明奖、科学技术进步奖）（一等奖排名前五、二等奖排名前三）。</w:t>
            </w:r>
          </w:p>
          <w:p w14:paraId="2D8EC653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2.主持市厅级科研项目（结题验收通过）。</w:t>
            </w:r>
          </w:p>
          <w:p w14:paraId="4786BCBD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3.主持市厅级人文社会科学研究项目社会科学基金项目（结题验收通过）。</w:t>
            </w:r>
          </w:p>
          <w:p w14:paraId="1B227042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4.主持中国科协青年人才托举工程博士生专项计划（博士研究生）。</w:t>
            </w:r>
          </w:p>
          <w:p w14:paraId="73706AEF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5.作为主要完成人获得“三大赛”国赛金奖/“大挑”特等奖（排名前五）或银奖/“大挑”一等奖（排名前三）。</w:t>
            </w:r>
          </w:p>
        </w:tc>
        <w:tc>
          <w:tcPr>
            <w:tcW w:w="1575" w:type="pct"/>
            <w:shd w:val="clear" w:color="auto" w:fill="auto"/>
            <w:vAlign w:val="center"/>
          </w:tcPr>
          <w:p w14:paraId="1F0EBDA9">
            <w:pPr>
              <w:pStyle w:val="4"/>
              <w:jc w:val="both"/>
              <w:rPr>
                <w:rFonts w:hint="default" w:ascii="Times New Roman" w:hAnsi="Times New Roman" w:cs="Times New Roman"/>
              </w:rPr>
            </w:pPr>
            <w:bookmarkStart w:id="1" w:name="_Hlk181091703"/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中科院JCR期刊大类分区一区学术论文</w:t>
            </w:r>
            <w:bookmarkEnd w:id="1"/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或为</w:t>
            </w:r>
            <w:bookmarkStart w:id="2" w:name="_Hlk181091727"/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Nature Index目录中的期刊</w:t>
            </w:r>
            <w:bookmarkEnd w:id="2"/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。</w:t>
            </w:r>
          </w:p>
        </w:tc>
        <w:tc>
          <w:tcPr>
            <w:tcW w:w="761" w:type="pct"/>
            <w:shd w:val="clear" w:color="auto" w:fill="auto"/>
            <w:vAlign w:val="center"/>
          </w:tcPr>
          <w:p w14:paraId="677327D9">
            <w:pPr>
              <w:pStyle w:val="4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授权国际发明专利。</w:t>
            </w:r>
          </w:p>
        </w:tc>
        <w:tc>
          <w:tcPr>
            <w:tcW w:w="529" w:type="pct"/>
            <w:vMerge w:val="continue"/>
            <w:shd w:val="clear" w:color="auto" w:fill="auto"/>
            <w:vAlign w:val="center"/>
          </w:tcPr>
          <w:p w14:paraId="47CCAC4A">
            <w:pPr>
              <w:pStyle w:val="4"/>
              <w:jc w:val="both"/>
              <w:rPr>
                <w:rFonts w:hint="default" w:ascii="Times New Roman" w:hAnsi="Times New Roman" w:cs="Times New Roman"/>
              </w:rPr>
            </w:pPr>
          </w:p>
        </w:tc>
      </w:tr>
      <w:tr w14:paraId="13A66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8" w:hRule="atLeast"/>
        </w:trPr>
        <w:tc>
          <w:tcPr>
            <w:tcW w:w="292" w:type="pct"/>
            <w:shd w:val="clear" w:color="auto" w:fill="auto"/>
            <w:vAlign w:val="center"/>
          </w:tcPr>
          <w:p w14:paraId="35A4C6A3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21"/>
                <w:lang w:eastAsia="zh-CN"/>
              </w:rPr>
              <w:t>D</w:t>
            </w:r>
          </w:p>
        </w:tc>
        <w:tc>
          <w:tcPr>
            <w:tcW w:w="518" w:type="pct"/>
            <w:vAlign w:val="center"/>
          </w:tcPr>
          <w:p w14:paraId="0D652F36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5A（博士）</w:t>
            </w:r>
          </w:p>
        </w:tc>
        <w:tc>
          <w:tcPr>
            <w:tcW w:w="1322" w:type="pct"/>
            <w:shd w:val="clear" w:color="auto" w:fill="auto"/>
            <w:vAlign w:val="center"/>
          </w:tcPr>
          <w:p w14:paraId="5835990D">
            <w:pPr>
              <w:pStyle w:val="4"/>
              <w:widowControl/>
              <w:numPr>
                <w:ilvl w:val="255"/>
                <w:numId w:val="0"/>
              </w:numPr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1.主持江苏省研究生科研与实践创新计划项目（结题验收通过）。</w:t>
            </w:r>
          </w:p>
          <w:p w14:paraId="7DD0F5D7">
            <w:pPr>
              <w:pStyle w:val="4"/>
              <w:widowControl/>
              <w:numPr>
                <w:ilvl w:val="255"/>
                <w:numId w:val="0"/>
              </w:numPr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2.《全国普通高校大学生竞赛目录》赛事全国一等奖（排名第一）；中国研究生实践创新系列大赛全国一等奖（排名第一）。</w:t>
            </w:r>
          </w:p>
        </w:tc>
        <w:tc>
          <w:tcPr>
            <w:tcW w:w="1575" w:type="pct"/>
            <w:shd w:val="clear" w:color="auto" w:fill="auto"/>
            <w:vAlign w:val="center"/>
          </w:tcPr>
          <w:p w14:paraId="54744765">
            <w:pPr>
              <w:pStyle w:val="4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中科院JCR期刊大类分区二区学术论文。</w:t>
            </w:r>
          </w:p>
        </w:tc>
        <w:tc>
          <w:tcPr>
            <w:tcW w:w="761" w:type="pct"/>
            <w:shd w:val="clear" w:color="auto" w:fill="auto"/>
            <w:vAlign w:val="center"/>
          </w:tcPr>
          <w:p w14:paraId="0BE3C523">
            <w:pPr>
              <w:pStyle w:val="4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授权国家发明专利。</w:t>
            </w:r>
          </w:p>
        </w:tc>
        <w:tc>
          <w:tcPr>
            <w:tcW w:w="529" w:type="pct"/>
            <w:vMerge w:val="continue"/>
            <w:shd w:val="clear" w:color="auto" w:fill="auto"/>
            <w:vAlign w:val="center"/>
          </w:tcPr>
          <w:p w14:paraId="3C0E8238">
            <w:pPr>
              <w:pStyle w:val="4"/>
              <w:jc w:val="both"/>
              <w:rPr>
                <w:rFonts w:hint="default" w:ascii="Times New Roman" w:hAnsi="Times New Roman" w:cs="Times New Roman"/>
              </w:rPr>
            </w:pPr>
          </w:p>
        </w:tc>
      </w:tr>
      <w:tr w14:paraId="1BF47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292" w:type="pct"/>
            <w:shd w:val="clear" w:color="auto" w:fill="auto"/>
            <w:vAlign w:val="center"/>
          </w:tcPr>
          <w:p w14:paraId="65C1C3AF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21"/>
                <w:lang w:eastAsia="zh-CN"/>
              </w:rPr>
              <w:t>E</w:t>
            </w:r>
          </w:p>
        </w:tc>
        <w:tc>
          <w:tcPr>
            <w:tcW w:w="518" w:type="pct"/>
          </w:tcPr>
          <w:p w14:paraId="557D09F5">
            <w:pPr>
              <w:pStyle w:val="4"/>
              <w:jc w:val="both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22" w:type="pct"/>
            <w:shd w:val="clear" w:color="auto" w:fill="auto"/>
            <w:vAlign w:val="center"/>
          </w:tcPr>
          <w:p w14:paraId="38F3DFBC">
            <w:pPr>
              <w:pStyle w:val="4"/>
              <w:jc w:val="both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75" w:type="pct"/>
            <w:shd w:val="clear" w:color="auto" w:fill="auto"/>
            <w:vAlign w:val="center"/>
          </w:tcPr>
          <w:p w14:paraId="7EDB0011">
            <w:pPr>
              <w:pStyle w:val="4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中科院JCR期刊大类分区三、四区学术论文。</w:t>
            </w:r>
          </w:p>
        </w:tc>
        <w:tc>
          <w:tcPr>
            <w:tcW w:w="761" w:type="pct"/>
            <w:shd w:val="clear" w:color="auto" w:fill="auto"/>
            <w:vAlign w:val="center"/>
          </w:tcPr>
          <w:p w14:paraId="066283AA">
            <w:pPr>
              <w:pStyle w:val="4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529" w:type="pct"/>
            <w:vMerge w:val="continue"/>
            <w:shd w:val="clear" w:color="auto" w:fill="FEF2CB" w:themeFill="accent3" w:themeFillTint="32"/>
            <w:vAlign w:val="center"/>
          </w:tcPr>
          <w:p w14:paraId="0C61B8A0">
            <w:pPr>
              <w:pStyle w:val="4"/>
              <w:jc w:val="both"/>
              <w:rPr>
                <w:rFonts w:hint="default" w:ascii="Times New Roman" w:hAnsi="Times New Roman" w:cs="Times New Roman"/>
              </w:rPr>
            </w:pPr>
          </w:p>
        </w:tc>
      </w:tr>
      <w:tr w14:paraId="57028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5" w:hRule="atLeast"/>
        </w:trPr>
        <w:tc>
          <w:tcPr>
            <w:tcW w:w="292" w:type="pct"/>
            <w:shd w:val="clear" w:color="auto" w:fill="auto"/>
            <w:vAlign w:val="center"/>
          </w:tcPr>
          <w:p w14:paraId="1D73D758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21"/>
                <w:lang w:eastAsia="zh-CN"/>
              </w:rPr>
              <w:t>F</w:t>
            </w:r>
          </w:p>
        </w:tc>
        <w:tc>
          <w:tcPr>
            <w:tcW w:w="518" w:type="pct"/>
            <w:vAlign w:val="center"/>
          </w:tcPr>
          <w:p w14:paraId="3E0CE6AE">
            <w:pPr>
              <w:pStyle w:val="4"/>
              <w:jc w:val="both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22" w:type="pct"/>
            <w:shd w:val="clear" w:color="auto" w:fill="auto"/>
            <w:vAlign w:val="center"/>
          </w:tcPr>
          <w:p w14:paraId="0FAA8C54">
            <w:pPr>
              <w:pStyle w:val="4"/>
              <w:jc w:val="both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75" w:type="pct"/>
            <w:shd w:val="clear" w:color="auto" w:fill="auto"/>
            <w:vAlign w:val="center"/>
          </w:tcPr>
          <w:p w14:paraId="5E34762D">
            <w:pPr>
              <w:pStyle w:val="4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公开出版的普通学术期刊论文。</w:t>
            </w:r>
          </w:p>
        </w:tc>
        <w:tc>
          <w:tcPr>
            <w:tcW w:w="761" w:type="pct"/>
            <w:shd w:val="clear" w:color="auto" w:fill="auto"/>
            <w:vAlign w:val="center"/>
          </w:tcPr>
          <w:p w14:paraId="6A7AF2DB">
            <w:pPr>
              <w:pStyle w:val="4"/>
              <w:jc w:val="both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1.申请与学位论文相关的国家发明专利。</w:t>
            </w:r>
          </w:p>
          <w:p w14:paraId="1B8A5A31">
            <w:pPr>
              <w:pStyle w:val="4"/>
              <w:jc w:val="both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2.授权与学位论文相关的软件著作权。</w:t>
            </w:r>
          </w:p>
        </w:tc>
        <w:tc>
          <w:tcPr>
            <w:tcW w:w="529" w:type="pct"/>
            <w:vMerge w:val="continue"/>
            <w:shd w:val="clear" w:color="auto" w:fill="FEF2CB" w:themeFill="accent3" w:themeFillTint="32"/>
            <w:vAlign w:val="center"/>
          </w:tcPr>
          <w:p w14:paraId="25B2CA2B">
            <w:pPr>
              <w:pStyle w:val="4"/>
              <w:jc w:val="both"/>
              <w:rPr>
                <w:rFonts w:hint="default" w:ascii="Times New Roman" w:hAnsi="Times New Roman" w:cs="Times New Roman"/>
              </w:rPr>
            </w:pPr>
          </w:p>
        </w:tc>
      </w:tr>
      <w:tr w14:paraId="3513F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3" w:hRule="atLeast"/>
        </w:trPr>
        <w:tc>
          <w:tcPr>
            <w:tcW w:w="292" w:type="pct"/>
            <w:shd w:val="clear" w:color="auto" w:fill="auto"/>
            <w:vAlign w:val="center"/>
          </w:tcPr>
          <w:p w14:paraId="1730B9D1">
            <w:pPr>
              <w:pStyle w:val="4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21"/>
                <w:lang w:eastAsia="zh-CN"/>
              </w:rPr>
              <w:t>说明</w:t>
            </w:r>
          </w:p>
        </w:tc>
        <w:tc>
          <w:tcPr>
            <w:tcW w:w="518" w:type="pct"/>
          </w:tcPr>
          <w:p w14:paraId="1F851AB8">
            <w:pPr>
              <w:pStyle w:val="4"/>
              <w:jc w:val="both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1.学校统一组织的论文盲审评阅结果，仅限首次送审且未经盲审申诉。</w:t>
            </w:r>
          </w:p>
          <w:p w14:paraId="60B1E8B4">
            <w:pPr>
              <w:pStyle w:val="4"/>
              <w:jc w:val="both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2.如盲审结果未达到5A，须满足相应等级成果要求后方可答辩。</w:t>
            </w:r>
          </w:p>
          <w:p w14:paraId="17E4ECAC">
            <w:pPr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322" w:type="pct"/>
            <w:shd w:val="clear" w:color="auto" w:fill="auto"/>
          </w:tcPr>
          <w:p w14:paraId="38411B4E">
            <w:pPr>
              <w:pStyle w:val="4"/>
              <w:jc w:val="both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1.署名要求：苏州大学（英文名为Soochow University）为第一署名单位；苏州大学功能纳米与软物质研究院为实际第一署名单位。</w:t>
            </w:r>
          </w:p>
          <w:p w14:paraId="05A4D12A">
            <w:pPr>
              <w:pStyle w:val="4"/>
              <w:jc w:val="both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2.《全国普通高校大学生竞赛目录》以中国高等教育学会当年发布为准。</w:t>
            </w:r>
          </w:p>
          <w:p w14:paraId="54C3A62E">
            <w:pPr>
              <w:pStyle w:val="4"/>
              <w:jc w:val="both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3.时间要求：成果均应为在读期间获得。</w:t>
            </w:r>
          </w:p>
        </w:tc>
        <w:tc>
          <w:tcPr>
            <w:tcW w:w="1575" w:type="pct"/>
            <w:shd w:val="clear" w:color="auto" w:fill="auto"/>
            <w:vAlign w:val="center"/>
          </w:tcPr>
          <w:p w14:paraId="1D891944">
            <w:pPr>
              <w:pStyle w:val="4"/>
              <w:jc w:val="both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1.署名要求：苏州大学（英文名为Soochow University）为第一署名单位；苏州大学功能纳米与软物质研究院为实际第一署名单位。学术论文须为第一作者/共同第一作者，论文的通讯作者须含学院内正式任职的专任教师。</w:t>
            </w:r>
          </w:p>
          <w:p w14:paraId="51CE6DC0">
            <w:pPr>
              <w:pStyle w:val="4"/>
              <w:jc w:val="both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（1）A等学术论文每篇限物理排序前三申请学位；</w:t>
            </w:r>
          </w:p>
          <w:p w14:paraId="084DDED9">
            <w:pPr>
              <w:pStyle w:val="4"/>
              <w:jc w:val="both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（2）B-E等学术论文每篇限物理排序前二申请学位。如用C等学术论文申请博士学位，须为物理排序第一；如用2篇D等学术论文申请博士学位，至少1篇须为物理排序第一。</w:t>
            </w:r>
          </w:p>
          <w:p w14:paraId="5D687537">
            <w:pPr>
              <w:pStyle w:val="4"/>
              <w:jc w:val="both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（3）F等学术论文每篇仅限物理排序第一申请学位。</w:t>
            </w:r>
          </w:p>
          <w:p w14:paraId="3CE61E45">
            <w:pPr>
              <w:pStyle w:val="4"/>
              <w:jc w:val="both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2.“中科院JCR分区”（SCIE、ESCI收录）按照《中国科学院文献情报中心期刊分区表》大类分区界定，论文类型为研究性论文，期刊分区以发表当年或授予学位当年就高计入。外文期刊不能是中科院近三年的年度性负面清单期刊，Nature Index期刊以发表当年或授予学位当年最新的期刊名单为准。</w:t>
            </w:r>
          </w:p>
          <w:p w14:paraId="6324079E">
            <w:pPr>
              <w:pStyle w:val="4"/>
              <w:jc w:val="both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3.学术论文成果以正式发表为准，且须对应论文章节（如仅录用未发表须由导师邮件提供情况说明，如非物理排序第一须提供纸质承诺书）。</w:t>
            </w:r>
          </w:p>
          <w:p w14:paraId="52955D72">
            <w:pPr>
              <w:pStyle w:val="4"/>
              <w:jc w:val="both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4.不符合中科院JCR分区但符合学科影响力的新杂志将上会讨论后备案。</w:t>
            </w:r>
          </w:p>
          <w:p w14:paraId="5D10A2C3">
            <w:pPr>
              <w:pStyle w:val="4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5.时间要求：成果均应为在读期间获得。</w:t>
            </w:r>
          </w:p>
        </w:tc>
        <w:tc>
          <w:tcPr>
            <w:tcW w:w="761" w:type="pct"/>
            <w:shd w:val="clear" w:color="auto" w:fill="auto"/>
          </w:tcPr>
          <w:p w14:paraId="389D2131">
            <w:pPr>
              <w:pStyle w:val="4"/>
              <w:jc w:val="both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1.署名要求：苏州大学（英文名为Soochow University）为第一署名单位；苏州大学功能纳米与软物质研究院为实际第一署名单位。</w:t>
            </w:r>
          </w:p>
          <w:p w14:paraId="3630FA43">
            <w:pPr>
              <w:pStyle w:val="4"/>
              <w:jc w:val="both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2.成果在非导师授权人中排名第一且须对应论文章节。</w:t>
            </w:r>
          </w:p>
          <w:p w14:paraId="4ECDF839">
            <w:pPr>
              <w:pStyle w:val="4"/>
              <w:jc w:val="both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3.专利奖仅认可政府部门设立的相关奖项。</w:t>
            </w:r>
          </w:p>
          <w:p w14:paraId="3E3D1321">
            <w:pPr>
              <w:pStyle w:val="4"/>
              <w:jc w:val="both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4.时间要求：成果均应为在读期间获得。</w:t>
            </w:r>
          </w:p>
        </w:tc>
        <w:tc>
          <w:tcPr>
            <w:tcW w:w="529" w:type="pct"/>
            <w:vMerge w:val="continue"/>
            <w:shd w:val="clear" w:color="auto" w:fill="FEF2CB" w:themeFill="accent3" w:themeFillTint="32"/>
            <w:vAlign w:val="center"/>
          </w:tcPr>
          <w:p w14:paraId="4813A7AA">
            <w:pPr>
              <w:pStyle w:val="4"/>
              <w:jc w:val="both"/>
              <w:rPr>
                <w:rFonts w:hint="default" w:ascii="Times New Roman" w:hAnsi="Times New Roman" w:cs="Times New Roman"/>
              </w:rPr>
            </w:pPr>
          </w:p>
        </w:tc>
      </w:tr>
    </w:tbl>
    <w:p w14:paraId="1553D6F1">
      <w:pPr>
        <w:widowControl/>
        <w:rPr>
          <w:rFonts w:hint="default" w:ascii="Times New Roman" w:hAnsi="Times New Roman" w:cs="Times New Roman"/>
          <w:sz w:val="24"/>
        </w:rPr>
      </w:pPr>
    </w:p>
    <w:p w14:paraId="64D1BFFB">
      <w:pPr>
        <w:widowControl/>
        <w:jc w:val="left"/>
        <w:rPr>
          <w:rFonts w:hint="default" w:ascii="Times New Roman" w:hAnsi="Times New Roman" w:cs="Times New Roman"/>
          <w:sz w:val="24"/>
        </w:rPr>
      </w:pPr>
    </w:p>
    <w:p w14:paraId="01B87C13">
      <w:pPr>
        <w:widowControl/>
        <w:jc w:val="left"/>
        <w:rPr>
          <w:rFonts w:hint="default" w:ascii="Times New Roman" w:hAnsi="Times New Roman" w:cs="Times New Roman"/>
          <w:sz w:val="24"/>
        </w:rPr>
      </w:pPr>
    </w:p>
    <w:p w14:paraId="4FB51580">
      <w:pPr>
        <w:widowControl/>
        <w:jc w:val="left"/>
        <w:rPr>
          <w:rFonts w:hint="default" w:ascii="Times New Roman" w:hAnsi="Times New Roman" w:cs="Times New Roman"/>
          <w:sz w:val="24"/>
        </w:rPr>
      </w:pPr>
    </w:p>
    <w:p w14:paraId="261731BD">
      <w:pPr>
        <w:widowControl/>
        <w:jc w:val="left"/>
        <w:rPr>
          <w:rFonts w:hint="default" w:ascii="Times New Roman" w:hAnsi="Times New Roman" w:cs="Times New Roman"/>
          <w:sz w:val="24"/>
        </w:rPr>
      </w:pPr>
    </w:p>
    <w:p w14:paraId="60673A49">
      <w:pPr>
        <w:widowControl/>
        <w:jc w:val="left"/>
        <w:rPr>
          <w:rFonts w:hint="default" w:ascii="Times New Roman" w:hAnsi="Times New Roman" w:cs="Times New Roman"/>
          <w:sz w:val="24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 w14:paraId="12918E62">
      <w:pPr>
        <w:widowControl/>
        <w:jc w:val="left"/>
        <w:rPr>
          <w:rFonts w:hint="default" w:ascii="Times New Roman" w:hAnsi="Times New Roman" w:eastAsia="仿宋" w:cs="Times New Roman"/>
          <w:b/>
          <w:bCs/>
          <w:kern w:val="0"/>
          <w:sz w:val="28"/>
          <w:szCs w:val="28"/>
          <w:lang w:bidi="ar"/>
        </w:rPr>
      </w:pPr>
      <w:r>
        <w:rPr>
          <w:rFonts w:hint="default" w:ascii="Times New Roman" w:hAnsi="Times New Roman" w:eastAsia="仿宋" w:cs="Times New Roman"/>
          <w:b/>
          <w:bCs/>
          <w:kern w:val="0"/>
          <w:sz w:val="28"/>
          <w:szCs w:val="28"/>
          <w:lang w:bidi="ar"/>
        </w:rPr>
        <w:t>附件1：</w:t>
      </w:r>
    </w:p>
    <w:p w14:paraId="750FFB66">
      <w:pPr>
        <w:widowControl/>
        <w:jc w:val="center"/>
        <w:rPr>
          <w:rFonts w:hint="default" w:ascii="Times New Roman" w:hAnsi="Times New Roman" w:eastAsia="仿宋" w:cs="Times New Roman"/>
          <w:b/>
          <w:bCs/>
          <w:kern w:val="0"/>
          <w:sz w:val="28"/>
          <w:szCs w:val="28"/>
          <w:lang w:bidi="ar"/>
        </w:rPr>
      </w:pPr>
      <w:r>
        <w:rPr>
          <w:rFonts w:hint="default" w:ascii="Times New Roman" w:hAnsi="Times New Roman" w:eastAsia="仿宋" w:cs="Times New Roman"/>
          <w:b/>
          <w:bCs/>
          <w:kern w:val="0"/>
          <w:sz w:val="28"/>
          <w:szCs w:val="28"/>
          <w:lang w:bidi="ar"/>
        </w:rPr>
        <w:t>本学科专业领域内认可的增补期刊目录</w:t>
      </w:r>
    </w:p>
    <w:tbl>
      <w:tblPr>
        <w:tblStyle w:val="9"/>
        <w:tblW w:w="5000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4489"/>
        <w:gridCol w:w="1451"/>
        <w:gridCol w:w="2279"/>
        <w:gridCol w:w="1743"/>
      </w:tblGrid>
      <w:tr w14:paraId="1EB5B4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C61E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21"/>
                <w:lang w:bidi="ar"/>
              </w:rPr>
              <w:t>国外期刊</w:t>
            </w:r>
          </w:p>
        </w:tc>
      </w:tr>
      <w:tr w14:paraId="349F29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14F2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2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63DD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21"/>
                <w:lang w:bidi="ar"/>
              </w:rPr>
              <w:t>期刊名称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FE30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21"/>
                <w:lang w:bidi="ar"/>
              </w:rPr>
              <w:t>中文译名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4A58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21"/>
                <w:lang w:bidi="ar"/>
              </w:rPr>
              <w:t>期刊号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E47A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21"/>
                <w:lang w:bidi="ar"/>
              </w:rPr>
              <w:t>对应级别</w:t>
            </w:r>
          </w:p>
        </w:tc>
      </w:tr>
      <w:tr w14:paraId="3E4C6D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BA40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2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1AA8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Science Robotics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7665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DF00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2470-9476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DD68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A</w:t>
            </w:r>
          </w:p>
        </w:tc>
      </w:tr>
      <w:tr w14:paraId="07B04C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F2C5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2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3C1F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Science Immunology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516D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933F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2470-9468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B044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A</w:t>
            </w:r>
          </w:p>
        </w:tc>
      </w:tr>
      <w:tr w14:paraId="233FC7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7EB1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2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2AF2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Science Translational Medicine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6C7F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2CD5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1946-6234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C3E5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A</w:t>
            </w:r>
          </w:p>
        </w:tc>
      </w:tr>
      <w:tr w14:paraId="5D3956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AF25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2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0DE1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Science Signaling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5A97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33D8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1945-0877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B60B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A</w:t>
            </w:r>
          </w:p>
        </w:tc>
      </w:tr>
      <w:tr w14:paraId="781D16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9CD0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2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A561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Nature Communications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46E3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51BF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2041-1723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F618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B</w:t>
            </w:r>
          </w:p>
        </w:tc>
      </w:tr>
      <w:tr w14:paraId="1D488C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0C37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2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7442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Science Advances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DA40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A1B3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2375-2548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3379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B</w:t>
            </w:r>
          </w:p>
        </w:tc>
      </w:tr>
      <w:tr w14:paraId="472B12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4B7E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7</w:t>
            </w:r>
          </w:p>
        </w:tc>
        <w:tc>
          <w:tcPr>
            <w:tcW w:w="2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F884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Energy &amp; Environmental Science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C25E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7B19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1754-5692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3D18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B</w:t>
            </w:r>
          </w:p>
        </w:tc>
      </w:tr>
      <w:tr w14:paraId="5BFB73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4F6C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2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D07F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Chem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855D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3014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2451-9294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52CF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B</w:t>
            </w:r>
          </w:p>
        </w:tc>
      </w:tr>
      <w:tr w14:paraId="665BE4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6DE3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9</w:t>
            </w:r>
          </w:p>
        </w:tc>
        <w:tc>
          <w:tcPr>
            <w:tcW w:w="2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75C0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Joule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2BBB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8D57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2542-4351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1281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B</w:t>
            </w:r>
          </w:p>
        </w:tc>
      </w:tr>
      <w:tr w14:paraId="264ED3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0B76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2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8121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Physical Review Letters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A5D4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89E9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0031-9007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8089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B</w:t>
            </w:r>
          </w:p>
        </w:tc>
      </w:tr>
      <w:tr w14:paraId="56F973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D75F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11</w:t>
            </w:r>
          </w:p>
        </w:tc>
        <w:tc>
          <w:tcPr>
            <w:tcW w:w="2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3264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Angewandte Chemie-International Edition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119D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8F39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1433-7851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6DC2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B</w:t>
            </w:r>
          </w:p>
        </w:tc>
      </w:tr>
      <w:tr w14:paraId="07C78F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B736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12</w:t>
            </w:r>
          </w:p>
        </w:tc>
        <w:tc>
          <w:tcPr>
            <w:tcW w:w="2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8308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Journal of the American Chemical Society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9B42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04C1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0002-7863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358E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B</w:t>
            </w:r>
          </w:p>
        </w:tc>
      </w:tr>
      <w:tr w14:paraId="1BBAE2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CC70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13</w:t>
            </w:r>
          </w:p>
        </w:tc>
        <w:tc>
          <w:tcPr>
            <w:tcW w:w="2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D3AC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Advanced Materials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4C43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7C58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0935-9648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270B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B</w:t>
            </w:r>
          </w:p>
        </w:tc>
      </w:tr>
      <w:tr w14:paraId="25E71D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75B5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14</w:t>
            </w:r>
          </w:p>
        </w:tc>
        <w:tc>
          <w:tcPr>
            <w:tcW w:w="2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81DE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Proceedings of the National Academy of Sciences of the United States of America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0062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8DAD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0027-8424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0277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B</w:t>
            </w:r>
          </w:p>
        </w:tc>
      </w:tr>
      <w:tr w14:paraId="769A64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85FB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15</w:t>
            </w:r>
          </w:p>
        </w:tc>
        <w:tc>
          <w:tcPr>
            <w:tcW w:w="2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CD81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Cell Research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A66F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DA4B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1001-0602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4F22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B</w:t>
            </w:r>
          </w:p>
        </w:tc>
      </w:tr>
      <w:tr w14:paraId="487F43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7C1A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16</w:t>
            </w:r>
          </w:p>
        </w:tc>
        <w:tc>
          <w:tcPr>
            <w:tcW w:w="2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C24F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Genes &amp; Development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2EBA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729E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0890-9369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0552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B</w:t>
            </w:r>
          </w:p>
        </w:tc>
      </w:tr>
      <w:tr w14:paraId="548EC5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CBB6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17</w:t>
            </w:r>
          </w:p>
        </w:tc>
        <w:tc>
          <w:tcPr>
            <w:tcW w:w="2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E26C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Cell Chemical Biology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34BC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F122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2451-9456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8E5A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B</w:t>
            </w:r>
          </w:p>
        </w:tc>
      </w:tr>
      <w:tr w14:paraId="3E2AA0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BC3B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2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0F39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Cell Reports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EB2A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8FB6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2211-1247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24C0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B</w:t>
            </w:r>
          </w:p>
        </w:tc>
      </w:tr>
      <w:tr w14:paraId="2171BE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6E0C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19</w:t>
            </w:r>
          </w:p>
        </w:tc>
        <w:tc>
          <w:tcPr>
            <w:tcW w:w="2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9F32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Journal of Clinical Investigation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3111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36FF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0021-9738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BB4B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B</w:t>
            </w:r>
          </w:p>
        </w:tc>
      </w:tr>
      <w:tr w14:paraId="4373F9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F0D3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20</w:t>
            </w:r>
          </w:p>
        </w:tc>
        <w:tc>
          <w:tcPr>
            <w:tcW w:w="2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ACD9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Journal of Experimental Medicine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D879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6DFF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0022-1007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A6D6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B</w:t>
            </w:r>
          </w:p>
        </w:tc>
      </w:tr>
      <w:tr w14:paraId="606815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26FD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21</w:t>
            </w:r>
          </w:p>
        </w:tc>
        <w:tc>
          <w:tcPr>
            <w:tcW w:w="2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9FA2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Matter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D881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B053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2590-2393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53080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B</w:t>
            </w:r>
          </w:p>
        </w:tc>
      </w:tr>
      <w:tr w14:paraId="49627D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CEC5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22</w:t>
            </w:r>
          </w:p>
        </w:tc>
        <w:tc>
          <w:tcPr>
            <w:tcW w:w="2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430C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Proceedings of the IEEE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FBF6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D762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0022-1007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9A8E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B</w:t>
            </w:r>
          </w:p>
        </w:tc>
      </w:tr>
      <w:tr w14:paraId="53EB0B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B841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23</w:t>
            </w:r>
          </w:p>
        </w:tc>
        <w:tc>
          <w:tcPr>
            <w:tcW w:w="2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8487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Proceedings of the International Electron Devices Meeting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0E7B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5C28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/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387B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B</w:t>
            </w:r>
          </w:p>
        </w:tc>
      </w:tr>
      <w:tr w14:paraId="52A3D2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83F5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24</w:t>
            </w:r>
          </w:p>
        </w:tc>
        <w:tc>
          <w:tcPr>
            <w:tcW w:w="2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290F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National Science Review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F717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2105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2095-5138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8E4F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B</w:t>
            </w:r>
          </w:p>
        </w:tc>
      </w:tr>
      <w:tr w14:paraId="108A2C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6AD3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25</w:t>
            </w:r>
          </w:p>
        </w:tc>
        <w:tc>
          <w:tcPr>
            <w:tcW w:w="2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F01E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Cancer Cell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7B68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2562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1535-6108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0BCD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B</w:t>
            </w:r>
          </w:p>
        </w:tc>
      </w:tr>
      <w:tr w14:paraId="6BF5C9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BDCD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26</w:t>
            </w:r>
          </w:p>
        </w:tc>
        <w:tc>
          <w:tcPr>
            <w:tcW w:w="2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3990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Cell Stem Cell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20CC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16F2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1934-5909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2403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B</w:t>
            </w:r>
          </w:p>
        </w:tc>
      </w:tr>
      <w:tr w14:paraId="633979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0AF0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27</w:t>
            </w:r>
          </w:p>
        </w:tc>
        <w:tc>
          <w:tcPr>
            <w:tcW w:w="2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757B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Cell Metabolism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DD07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43BA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1550-4131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1536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B</w:t>
            </w:r>
          </w:p>
        </w:tc>
      </w:tr>
      <w:tr w14:paraId="0ED38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FAA8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28</w:t>
            </w:r>
          </w:p>
        </w:tc>
        <w:tc>
          <w:tcPr>
            <w:tcW w:w="2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E291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Developmental Cell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1C2FD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4154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1534-5807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164C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B</w:t>
            </w:r>
          </w:p>
        </w:tc>
      </w:tr>
      <w:tr w14:paraId="160533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41B6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29</w:t>
            </w:r>
          </w:p>
        </w:tc>
        <w:tc>
          <w:tcPr>
            <w:tcW w:w="2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B1D5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Neuron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0BEC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C30ED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0896-6273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E0DD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B</w:t>
            </w:r>
          </w:p>
        </w:tc>
      </w:tr>
      <w:tr w14:paraId="449934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A14B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30</w:t>
            </w:r>
          </w:p>
        </w:tc>
        <w:tc>
          <w:tcPr>
            <w:tcW w:w="2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A694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Immunity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6BCA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08BB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1074-7613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DC48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B</w:t>
            </w:r>
          </w:p>
        </w:tc>
      </w:tr>
      <w:tr w14:paraId="7D6AF3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01C5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31</w:t>
            </w:r>
          </w:p>
        </w:tc>
        <w:tc>
          <w:tcPr>
            <w:tcW w:w="2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B4E4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Molecular Cell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6E77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B7D4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1097-2765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0EE1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B</w:t>
            </w:r>
          </w:p>
        </w:tc>
      </w:tr>
    </w:tbl>
    <w:p w14:paraId="6A63A661">
      <w:pPr>
        <w:widowControl/>
        <w:jc w:val="left"/>
        <w:rPr>
          <w:rFonts w:hint="default" w:ascii="Times New Roman" w:hAnsi="Times New Roman" w:cs="Times New Roman"/>
          <w:sz w:val="24"/>
        </w:rPr>
      </w:pPr>
    </w:p>
    <w:p w14:paraId="075C1983">
      <w:pPr>
        <w:widowControl/>
        <w:jc w:val="left"/>
        <w:rPr>
          <w:rFonts w:hint="default" w:ascii="Times New Roman" w:hAnsi="Times New Roman" w:cs="Times New Roman"/>
          <w:sz w:val="24"/>
        </w:rPr>
      </w:pPr>
    </w:p>
    <w:p w14:paraId="19035306">
      <w:pPr>
        <w:widowControl/>
        <w:jc w:val="left"/>
        <w:rPr>
          <w:rFonts w:hint="default" w:ascii="Times New Roman" w:hAnsi="Times New Roman" w:cs="Times New Roman"/>
          <w:sz w:val="24"/>
        </w:rPr>
      </w:pPr>
    </w:p>
    <w:p w14:paraId="0ABD5B4D">
      <w:pPr>
        <w:widowControl/>
        <w:jc w:val="left"/>
        <w:rPr>
          <w:rFonts w:hint="default" w:ascii="Times New Roman" w:hAnsi="Times New Roman" w:cs="Times New Roman"/>
          <w:sz w:val="24"/>
        </w:rPr>
      </w:pPr>
    </w:p>
    <w:p w14:paraId="52DAA37D">
      <w:pPr>
        <w:widowControl/>
        <w:jc w:val="left"/>
        <w:rPr>
          <w:rFonts w:hint="default" w:ascii="Times New Roman" w:hAnsi="Times New Roman" w:cs="Times New Roman"/>
          <w:sz w:val="24"/>
        </w:rPr>
      </w:pPr>
    </w:p>
    <w:p w14:paraId="3C665123">
      <w:pPr>
        <w:widowControl/>
        <w:jc w:val="left"/>
        <w:rPr>
          <w:rFonts w:hint="default" w:ascii="Times New Roman" w:hAnsi="Times New Roman" w:cs="Times New Roman"/>
          <w:sz w:val="24"/>
        </w:rPr>
      </w:pPr>
    </w:p>
    <w:p w14:paraId="02D527E1">
      <w:pPr>
        <w:widowControl/>
        <w:jc w:val="left"/>
        <w:rPr>
          <w:rFonts w:hint="default" w:ascii="Times New Roman" w:hAnsi="Times New Roman" w:cs="Times New Roman"/>
          <w:sz w:val="24"/>
        </w:rPr>
      </w:pPr>
    </w:p>
    <w:p w14:paraId="78C13653">
      <w:pPr>
        <w:widowControl/>
        <w:rPr>
          <w:rFonts w:hint="default" w:ascii="Times New Roman" w:hAnsi="Times New Roman" w:cs="Times New Roman"/>
          <w:sz w:val="24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7"/>
    <w:multiLevelType w:val="multilevel"/>
    <w:tmpl w:val="00000007"/>
    <w:lvl w:ilvl="0" w:tentative="0">
      <w:start w:val="1"/>
      <w:numFmt w:val="decimal"/>
      <w:pStyle w:val="13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g3YTIzMzA2YjAxZTY1Y2RjYTdhYjQ5YjQ4YzA4MWIifQ=="/>
  </w:docVars>
  <w:rsids>
    <w:rsidRoot w:val="0D2E32A2"/>
    <w:rsid w:val="000030EC"/>
    <w:rsid w:val="000269AC"/>
    <w:rsid w:val="000305AD"/>
    <w:rsid w:val="00056F5C"/>
    <w:rsid w:val="00057239"/>
    <w:rsid w:val="000623EB"/>
    <w:rsid w:val="000665E9"/>
    <w:rsid w:val="00070EFC"/>
    <w:rsid w:val="0009758F"/>
    <w:rsid w:val="000A1CB1"/>
    <w:rsid w:val="000A6F55"/>
    <w:rsid w:val="000B7408"/>
    <w:rsid w:val="000C54F3"/>
    <w:rsid w:val="000C7F55"/>
    <w:rsid w:val="00100EEF"/>
    <w:rsid w:val="00106A7E"/>
    <w:rsid w:val="00127B12"/>
    <w:rsid w:val="00153D61"/>
    <w:rsid w:val="00155895"/>
    <w:rsid w:val="001574FE"/>
    <w:rsid w:val="00180AB7"/>
    <w:rsid w:val="001826C5"/>
    <w:rsid w:val="00195C31"/>
    <w:rsid w:val="001B3359"/>
    <w:rsid w:val="001C3B8F"/>
    <w:rsid w:val="001E3383"/>
    <w:rsid w:val="002263FE"/>
    <w:rsid w:val="002534E1"/>
    <w:rsid w:val="00255ACD"/>
    <w:rsid w:val="00285565"/>
    <w:rsid w:val="002B1800"/>
    <w:rsid w:val="002D0C6A"/>
    <w:rsid w:val="002E4AB9"/>
    <w:rsid w:val="00300DB5"/>
    <w:rsid w:val="0031477B"/>
    <w:rsid w:val="00316BC9"/>
    <w:rsid w:val="0031742B"/>
    <w:rsid w:val="003223CB"/>
    <w:rsid w:val="003722CD"/>
    <w:rsid w:val="00397358"/>
    <w:rsid w:val="003B2741"/>
    <w:rsid w:val="003C0156"/>
    <w:rsid w:val="003D11F0"/>
    <w:rsid w:val="003D1D29"/>
    <w:rsid w:val="003E3618"/>
    <w:rsid w:val="003E38B1"/>
    <w:rsid w:val="00407905"/>
    <w:rsid w:val="00423482"/>
    <w:rsid w:val="00443EBD"/>
    <w:rsid w:val="00490D23"/>
    <w:rsid w:val="004A1C43"/>
    <w:rsid w:val="004B2A7F"/>
    <w:rsid w:val="004F36C0"/>
    <w:rsid w:val="00504007"/>
    <w:rsid w:val="00507E58"/>
    <w:rsid w:val="00513C93"/>
    <w:rsid w:val="005306FB"/>
    <w:rsid w:val="00534528"/>
    <w:rsid w:val="00536B96"/>
    <w:rsid w:val="0055415B"/>
    <w:rsid w:val="005614BD"/>
    <w:rsid w:val="005679E2"/>
    <w:rsid w:val="00572249"/>
    <w:rsid w:val="00573866"/>
    <w:rsid w:val="00577401"/>
    <w:rsid w:val="00586419"/>
    <w:rsid w:val="00594884"/>
    <w:rsid w:val="00594CC4"/>
    <w:rsid w:val="005A2943"/>
    <w:rsid w:val="005C34ED"/>
    <w:rsid w:val="005C504D"/>
    <w:rsid w:val="005C66BD"/>
    <w:rsid w:val="005E451E"/>
    <w:rsid w:val="005E6E81"/>
    <w:rsid w:val="005F1758"/>
    <w:rsid w:val="00601393"/>
    <w:rsid w:val="006318EF"/>
    <w:rsid w:val="00670B22"/>
    <w:rsid w:val="00675C5C"/>
    <w:rsid w:val="00692B90"/>
    <w:rsid w:val="0069517D"/>
    <w:rsid w:val="00697B95"/>
    <w:rsid w:val="006C57DD"/>
    <w:rsid w:val="006E3526"/>
    <w:rsid w:val="006E69F5"/>
    <w:rsid w:val="006F676F"/>
    <w:rsid w:val="00711526"/>
    <w:rsid w:val="0072282F"/>
    <w:rsid w:val="00723B46"/>
    <w:rsid w:val="00731394"/>
    <w:rsid w:val="00734DEC"/>
    <w:rsid w:val="00753A6F"/>
    <w:rsid w:val="00763264"/>
    <w:rsid w:val="00773A71"/>
    <w:rsid w:val="00784128"/>
    <w:rsid w:val="007C349C"/>
    <w:rsid w:val="007E27A8"/>
    <w:rsid w:val="00805D10"/>
    <w:rsid w:val="008158C8"/>
    <w:rsid w:val="00816AD4"/>
    <w:rsid w:val="00821FA1"/>
    <w:rsid w:val="008226F9"/>
    <w:rsid w:val="00823B02"/>
    <w:rsid w:val="0083089E"/>
    <w:rsid w:val="00840689"/>
    <w:rsid w:val="008422B3"/>
    <w:rsid w:val="00851A6D"/>
    <w:rsid w:val="008530DF"/>
    <w:rsid w:val="0085555B"/>
    <w:rsid w:val="00857360"/>
    <w:rsid w:val="008606FD"/>
    <w:rsid w:val="00873A8D"/>
    <w:rsid w:val="00876A9A"/>
    <w:rsid w:val="0088649A"/>
    <w:rsid w:val="008B4115"/>
    <w:rsid w:val="008C1024"/>
    <w:rsid w:val="008C5BD8"/>
    <w:rsid w:val="008C64AF"/>
    <w:rsid w:val="008E4C3F"/>
    <w:rsid w:val="0090106C"/>
    <w:rsid w:val="00913610"/>
    <w:rsid w:val="0095762E"/>
    <w:rsid w:val="0096579A"/>
    <w:rsid w:val="0098536D"/>
    <w:rsid w:val="009E5BA7"/>
    <w:rsid w:val="009E6B9D"/>
    <w:rsid w:val="009F72A3"/>
    <w:rsid w:val="00A0727B"/>
    <w:rsid w:val="00A15C2E"/>
    <w:rsid w:val="00A42B84"/>
    <w:rsid w:val="00A66FA0"/>
    <w:rsid w:val="00A879D7"/>
    <w:rsid w:val="00AA0E10"/>
    <w:rsid w:val="00AA28F7"/>
    <w:rsid w:val="00AB0073"/>
    <w:rsid w:val="00AC4E73"/>
    <w:rsid w:val="00AF2B37"/>
    <w:rsid w:val="00B03265"/>
    <w:rsid w:val="00B20603"/>
    <w:rsid w:val="00B3453C"/>
    <w:rsid w:val="00B436F2"/>
    <w:rsid w:val="00B8221E"/>
    <w:rsid w:val="00BA0E04"/>
    <w:rsid w:val="00BB5846"/>
    <w:rsid w:val="00BC671B"/>
    <w:rsid w:val="00BE553E"/>
    <w:rsid w:val="00C0659F"/>
    <w:rsid w:val="00C4272E"/>
    <w:rsid w:val="00C45D06"/>
    <w:rsid w:val="00C45F89"/>
    <w:rsid w:val="00C47A39"/>
    <w:rsid w:val="00C703C6"/>
    <w:rsid w:val="00CA5807"/>
    <w:rsid w:val="00CB26F8"/>
    <w:rsid w:val="00CC2C0F"/>
    <w:rsid w:val="00CC60C9"/>
    <w:rsid w:val="00CD159C"/>
    <w:rsid w:val="00CD43C7"/>
    <w:rsid w:val="00CE28CE"/>
    <w:rsid w:val="00D064D3"/>
    <w:rsid w:val="00D10B28"/>
    <w:rsid w:val="00D10B57"/>
    <w:rsid w:val="00D11508"/>
    <w:rsid w:val="00D16D8C"/>
    <w:rsid w:val="00D404D9"/>
    <w:rsid w:val="00D41AF7"/>
    <w:rsid w:val="00D439C0"/>
    <w:rsid w:val="00D64DCE"/>
    <w:rsid w:val="00D70029"/>
    <w:rsid w:val="00D739A4"/>
    <w:rsid w:val="00D73E13"/>
    <w:rsid w:val="00D92A1D"/>
    <w:rsid w:val="00DB13D4"/>
    <w:rsid w:val="00DB1692"/>
    <w:rsid w:val="00DE138A"/>
    <w:rsid w:val="00DF0BD9"/>
    <w:rsid w:val="00DF2A58"/>
    <w:rsid w:val="00E01DE3"/>
    <w:rsid w:val="00E245C1"/>
    <w:rsid w:val="00E27BC3"/>
    <w:rsid w:val="00E5048C"/>
    <w:rsid w:val="00E52C38"/>
    <w:rsid w:val="00E8236C"/>
    <w:rsid w:val="00E826B4"/>
    <w:rsid w:val="00E85A08"/>
    <w:rsid w:val="00EB5102"/>
    <w:rsid w:val="00F104C4"/>
    <w:rsid w:val="00F24FEC"/>
    <w:rsid w:val="00F27E6E"/>
    <w:rsid w:val="00F80309"/>
    <w:rsid w:val="00F86C1B"/>
    <w:rsid w:val="00F9016E"/>
    <w:rsid w:val="015F00FD"/>
    <w:rsid w:val="048D40AB"/>
    <w:rsid w:val="04CA7618"/>
    <w:rsid w:val="05C55124"/>
    <w:rsid w:val="06FE2F2D"/>
    <w:rsid w:val="08F64EA8"/>
    <w:rsid w:val="0952058D"/>
    <w:rsid w:val="0A522CFE"/>
    <w:rsid w:val="0A977596"/>
    <w:rsid w:val="0C8353F1"/>
    <w:rsid w:val="0D2E32A2"/>
    <w:rsid w:val="0EF9380F"/>
    <w:rsid w:val="0F8D4999"/>
    <w:rsid w:val="0FC1070A"/>
    <w:rsid w:val="103C3220"/>
    <w:rsid w:val="106046D5"/>
    <w:rsid w:val="12280F14"/>
    <w:rsid w:val="13B60FB1"/>
    <w:rsid w:val="14F52C3F"/>
    <w:rsid w:val="1504314A"/>
    <w:rsid w:val="15E20D3B"/>
    <w:rsid w:val="16461DDA"/>
    <w:rsid w:val="16E6634A"/>
    <w:rsid w:val="16F818C7"/>
    <w:rsid w:val="17500185"/>
    <w:rsid w:val="18A9488D"/>
    <w:rsid w:val="19410E12"/>
    <w:rsid w:val="1AB10FBD"/>
    <w:rsid w:val="1AE9320B"/>
    <w:rsid w:val="1B2E0C1E"/>
    <w:rsid w:val="1DD261D8"/>
    <w:rsid w:val="1E734235"/>
    <w:rsid w:val="1EF40D4B"/>
    <w:rsid w:val="1EF63743"/>
    <w:rsid w:val="1F2870E6"/>
    <w:rsid w:val="1F505606"/>
    <w:rsid w:val="20497FB3"/>
    <w:rsid w:val="216B67EC"/>
    <w:rsid w:val="21776B61"/>
    <w:rsid w:val="250E5F8B"/>
    <w:rsid w:val="25675EBB"/>
    <w:rsid w:val="25DC5F2B"/>
    <w:rsid w:val="2D9476C0"/>
    <w:rsid w:val="30305B50"/>
    <w:rsid w:val="30F009F7"/>
    <w:rsid w:val="31D3583D"/>
    <w:rsid w:val="324A1E6C"/>
    <w:rsid w:val="32914B52"/>
    <w:rsid w:val="33FE342B"/>
    <w:rsid w:val="3424779F"/>
    <w:rsid w:val="352A2A6E"/>
    <w:rsid w:val="35902FF5"/>
    <w:rsid w:val="35E0728C"/>
    <w:rsid w:val="35F1149A"/>
    <w:rsid w:val="36C35881"/>
    <w:rsid w:val="38064FA4"/>
    <w:rsid w:val="392A081F"/>
    <w:rsid w:val="3CE06E77"/>
    <w:rsid w:val="3F516B05"/>
    <w:rsid w:val="3F5C5188"/>
    <w:rsid w:val="3FF1670B"/>
    <w:rsid w:val="41263FC1"/>
    <w:rsid w:val="41C23CEA"/>
    <w:rsid w:val="424C3B11"/>
    <w:rsid w:val="44867251"/>
    <w:rsid w:val="44B85B58"/>
    <w:rsid w:val="44DE20FB"/>
    <w:rsid w:val="46F9777C"/>
    <w:rsid w:val="49AA3C03"/>
    <w:rsid w:val="4B2B2900"/>
    <w:rsid w:val="4D1F5594"/>
    <w:rsid w:val="4D661400"/>
    <w:rsid w:val="4DD21759"/>
    <w:rsid w:val="4FAF1276"/>
    <w:rsid w:val="4FD52AE5"/>
    <w:rsid w:val="502913D8"/>
    <w:rsid w:val="513B53D4"/>
    <w:rsid w:val="527F5697"/>
    <w:rsid w:val="52CA6EA2"/>
    <w:rsid w:val="531A6AAF"/>
    <w:rsid w:val="54384EA4"/>
    <w:rsid w:val="554747DA"/>
    <w:rsid w:val="55992B5C"/>
    <w:rsid w:val="55B77246"/>
    <w:rsid w:val="562E7748"/>
    <w:rsid w:val="56407ED2"/>
    <w:rsid w:val="570E68CF"/>
    <w:rsid w:val="5814296E"/>
    <w:rsid w:val="599B517E"/>
    <w:rsid w:val="59B61C85"/>
    <w:rsid w:val="5AE44879"/>
    <w:rsid w:val="5E916AC6"/>
    <w:rsid w:val="5EDE6C3C"/>
    <w:rsid w:val="5F295B30"/>
    <w:rsid w:val="5F2B57AF"/>
    <w:rsid w:val="5F9F5213"/>
    <w:rsid w:val="62A969EB"/>
    <w:rsid w:val="655D5954"/>
    <w:rsid w:val="667A42E4"/>
    <w:rsid w:val="69A43B52"/>
    <w:rsid w:val="6AAB1FAF"/>
    <w:rsid w:val="6B1747F7"/>
    <w:rsid w:val="6C2238DC"/>
    <w:rsid w:val="6F325547"/>
    <w:rsid w:val="70A70F1C"/>
    <w:rsid w:val="70ED18AC"/>
    <w:rsid w:val="72A02D9E"/>
    <w:rsid w:val="749913C0"/>
    <w:rsid w:val="74CB28DA"/>
    <w:rsid w:val="74D97AFF"/>
    <w:rsid w:val="75381A33"/>
    <w:rsid w:val="75B50DCC"/>
    <w:rsid w:val="76C2663F"/>
    <w:rsid w:val="775B5A6C"/>
    <w:rsid w:val="77EF22E9"/>
    <w:rsid w:val="788259A6"/>
    <w:rsid w:val="789E6E90"/>
    <w:rsid w:val="78D4194A"/>
    <w:rsid w:val="79DD09BA"/>
    <w:rsid w:val="7A4647B1"/>
    <w:rsid w:val="7B2E771F"/>
    <w:rsid w:val="7DC46386"/>
    <w:rsid w:val="7F25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autoRedefine/>
    <w:qFormat/>
    <w:uiPriority w:val="0"/>
    <w:pPr>
      <w:jc w:val="left"/>
    </w:pPr>
  </w:style>
  <w:style w:type="paragraph" w:styleId="4">
    <w:name w:val="Body Text"/>
    <w:basedOn w:val="1"/>
    <w:autoRedefine/>
    <w:qFormat/>
    <w:uiPriority w:val="0"/>
    <w:pPr>
      <w:widowControl/>
      <w:autoSpaceDE w:val="0"/>
      <w:autoSpaceDN w:val="0"/>
      <w:adjustRightInd w:val="0"/>
      <w:snapToGrid w:val="0"/>
      <w:jc w:val="left"/>
      <w:textAlignment w:val="baseline"/>
    </w:pPr>
    <w:rPr>
      <w:rFonts w:ascii="Times New Roman" w:hAnsi="Times New Roman"/>
      <w:kern w:val="0"/>
      <w:szCs w:val="21"/>
    </w:rPr>
  </w:style>
  <w:style w:type="paragraph" w:styleId="5">
    <w:name w:val="Balloon Text"/>
    <w:basedOn w:val="1"/>
    <w:link w:val="16"/>
    <w:qFormat/>
    <w:uiPriority w:val="0"/>
    <w:rPr>
      <w:sz w:val="18"/>
      <w:szCs w:val="18"/>
    </w:rPr>
  </w:style>
  <w:style w:type="paragraph" w:styleId="6">
    <w:name w:val="footer"/>
    <w:basedOn w:val="1"/>
    <w:link w:val="15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0">
    <w:name w:val="Table Grid"/>
    <w:basedOn w:val="9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basedOn w:val="11"/>
    <w:autoRedefine/>
    <w:qFormat/>
    <w:uiPriority w:val="0"/>
    <w:rPr>
      <w:sz w:val="21"/>
      <w:szCs w:val="21"/>
    </w:rPr>
  </w:style>
  <w:style w:type="paragraph" w:styleId="13">
    <w:name w:val="List Paragraph"/>
    <w:basedOn w:val="1"/>
    <w:autoRedefine/>
    <w:qFormat/>
    <w:uiPriority w:val="99"/>
    <w:pPr>
      <w:numPr>
        <w:ilvl w:val="0"/>
        <w:numId w:val="1"/>
      </w:numPr>
      <w:adjustRightInd w:val="0"/>
      <w:snapToGrid w:val="0"/>
      <w:spacing w:before="120"/>
    </w:pPr>
    <w:rPr>
      <w:rFonts w:ascii="Times New Roman" w:hAnsi="Times New Roman" w:cs="Times New Roman"/>
      <w:bCs/>
      <w:kern w:val="0"/>
      <w:sz w:val="24"/>
    </w:rPr>
  </w:style>
  <w:style w:type="character" w:customStyle="1" w:styleId="14">
    <w:name w:val="页眉 字符"/>
    <w:basedOn w:val="11"/>
    <w:link w:val="7"/>
    <w:autoRedefine/>
    <w:qFormat/>
    <w:uiPriority w:val="0"/>
    <w:rPr>
      <w:rFonts w:ascii="Calibri" w:hAnsi="Calibri" w:cs="宋体"/>
      <w:kern w:val="2"/>
      <w:sz w:val="18"/>
      <w:szCs w:val="18"/>
    </w:rPr>
  </w:style>
  <w:style w:type="character" w:customStyle="1" w:styleId="15">
    <w:name w:val="页脚 字符"/>
    <w:basedOn w:val="11"/>
    <w:link w:val="6"/>
    <w:qFormat/>
    <w:uiPriority w:val="0"/>
    <w:rPr>
      <w:rFonts w:ascii="Calibri" w:hAnsi="Calibri" w:cs="宋体"/>
      <w:kern w:val="2"/>
      <w:sz w:val="18"/>
      <w:szCs w:val="18"/>
    </w:rPr>
  </w:style>
  <w:style w:type="character" w:customStyle="1" w:styleId="16">
    <w:name w:val="批注框文本 字符"/>
    <w:basedOn w:val="11"/>
    <w:link w:val="5"/>
    <w:qFormat/>
    <w:uiPriority w:val="0"/>
    <w:rPr>
      <w:rFonts w:ascii="Calibri" w:hAnsi="Calibri"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2247</Words>
  <Characters>3737</Characters>
  <Lines>30</Lines>
  <Paragraphs>8</Paragraphs>
  <TotalTime>68</TotalTime>
  <ScaleCrop>false</ScaleCrop>
  <LinksUpToDate>false</LinksUpToDate>
  <CharactersWithSpaces>3892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2025-06-30T02:20:00Z</dcterms:created>
  <dc:creator>味</dc:creator>
  <cp:lastModifiedBy>研究生院学位办</cp:lastModifiedBy>
  <cp:lastPrinted>2024-10-23T05:31:00Z</cp:lastPrinted>
  <dcterms:modified xsi:type="dcterms:W3CDTF">2025-09-17T06:17:22Z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2EF6496D28EA4C62A24AE0C169382CB7_13</vt:lpwstr>
  </property>
  <property fmtid="{D5CDD505-2E9C-101B-9397-08002B2CF9AE}" pid="4" name="KSOTemplateDocerSaveRecord">
    <vt:lpwstr>eyJoZGlkIjoiMzc2NDdmNTE0MGU5Y2NmMTAyNWNkZjcyOWMyMDVkMjQiLCJ1c2VySWQiOiIyNTAwNTUxMDIifQ==</vt:lpwstr>
  </property>
</Properties>
</file>