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DFAB">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教育学院</w:t>
      </w:r>
      <w:r>
        <w:rPr>
          <w:rFonts w:hint="eastAsia" w:ascii="黑体" w:hAnsi="黑体" w:eastAsia="黑体" w:cs="黑体"/>
          <w:kern w:val="0"/>
          <w:sz w:val="40"/>
          <w:szCs w:val="40"/>
          <w:lang w:val="en-US" w:eastAsia="zh-CN" w:bidi="ar"/>
        </w:rPr>
        <w:t>研究生申请学位创新性研究成果具体标准</w:t>
      </w:r>
    </w:p>
    <w:p w14:paraId="421C7D2F">
      <w:pPr>
        <w:widowControl/>
        <w:spacing w:after="156" w:afterLines="50"/>
        <w:ind w:firstLine="640" w:firstLineChars="200"/>
        <w:jc w:val="left"/>
        <w:rPr>
          <w:rFonts w:ascii="Times New Roman" w:hAnsi="Times New Roman" w:eastAsia="仿宋" w:cs="仿宋_GB2312"/>
          <w:kern w:val="0"/>
          <w:sz w:val="32"/>
          <w:szCs w:val="31"/>
          <w:lang w:bidi="ar"/>
        </w:rPr>
      </w:pPr>
      <w:r>
        <w:rPr>
          <w:rFonts w:hint="eastAsia" w:ascii="Times New Roman" w:hAnsi="Times New Roman" w:eastAsia="仿宋" w:cs="仿宋_GB2312"/>
          <w:kern w:val="0"/>
          <w:sz w:val="32"/>
          <w:szCs w:val="31"/>
          <w:lang w:bidi="ar"/>
        </w:rPr>
        <w:t>经教育学院、教育科学研究院学位评定分委员会讨论</w:t>
      </w:r>
      <w:r>
        <w:rPr>
          <w:rFonts w:hint="eastAsia" w:ascii="Times New Roman" w:hAnsi="Times New Roman" w:eastAsia="仿宋" w:cs="仿宋_GB2312"/>
          <w:kern w:val="0"/>
          <w:sz w:val="32"/>
          <w:szCs w:val="31"/>
          <w:lang w:eastAsia="zh-CN" w:bidi="ar"/>
        </w:rPr>
        <w:t>，</w:t>
      </w:r>
      <w:r>
        <w:rPr>
          <w:rFonts w:ascii="Times New Roman" w:hAnsi="Times New Roman" w:eastAsia="仿宋" w:cs="仿宋_GB2312"/>
          <w:kern w:val="0"/>
          <w:sz w:val="32"/>
          <w:szCs w:val="31"/>
          <w:lang w:bidi="ar"/>
        </w:rPr>
        <w:t>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01"/>
        <w:gridCol w:w="1450"/>
        <w:gridCol w:w="4250"/>
        <w:gridCol w:w="3367"/>
        <w:gridCol w:w="1536"/>
        <w:gridCol w:w="1435"/>
        <w:gridCol w:w="1435"/>
      </w:tblGrid>
      <w:tr w14:paraId="1766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47" w:type="pct"/>
            <w:shd w:val="clear" w:color="auto" w:fill="auto"/>
            <w:vAlign w:val="center"/>
          </w:tcPr>
          <w:p w14:paraId="1AD185B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511" w:type="pct"/>
            <w:shd w:val="clear" w:color="auto" w:fill="auto"/>
            <w:vAlign w:val="center"/>
          </w:tcPr>
          <w:p w14:paraId="7302CD0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499" w:type="pct"/>
            <w:shd w:val="clear" w:color="auto" w:fill="auto"/>
            <w:vAlign w:val="center"/>
          </w:tcPr>
          <w:p w14:paraId="4D7FD3A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187" w:type="pct"/>
            <w:shd w:val="clear" w:color="auto" w:fill="auto"/>
            <w:vAlign w:val="center"/>
          </w:tcPr>
          <w:p w14:paraId="3BE7159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541" w:type="pct"/>
            <w:shd w:val="clear" w:color="auto" w:fill="auto"/>
            <w:vAlign w:val="center"/>
          </w:tcPr>
          <w:p w14:paraId="2B351C7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506" w:type="pct"/>
            <w:shd w:val="clear" w:color="auto" w:fill="auto"/>
            <w:vAlign w:val="center"/>
          </w:tcPr>
          <w:p w14:paraId="2F92322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第5类</w:t>
            </w:r>
          </w:p>
        </w:tc>
        <w:tc>
          <w:tcPr>
            <w:tcW w:w="506" w:type="pct"/>
            <w:vMerge w:val="restart"/>
            <w:shd w:val="clear" w:color="auto" w:fill="auto"/>
            <w:vAlign w:val="center"/>
          </w:tcPr>
          <w:p w14:paraId="169A3CF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lang w:val="en-US" w:eastAsia="zh-CN"/>
              </w:rPr>
              <w:t>具体标准</w:t>
            </w:r>
          </w:p>
        </w:tc>
      </w:tr>
      <w:tr w14:paraId="6E54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47" w:type="pct"/>
            <w:shd w:val="clear" w:color="auto" w:fill="auto"/>
            <w:vAlign w:val="center"/>
          </w:tcPr>
          <w:p w14:paraId="56DDF92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511" w:type="pct"/>
            <w:shd w:val="clear" w:color="auto" w:fill="auto"/>
            <w:vAlign w:val="center"/>
          </w:tcPr>
          <w:p w14:paraId="1CACADF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评阅结果</w:t>
            </w:r>
          </w:p>
        </w:tc>
        <w:tc>
          <w:tcPr>
            <w:tcW w:w="1499" w:type="pct"/>
            <w:shd w:val="clear" w:color="auto" w:fill="auto"/>
            <w:vAlign w:val="center"/>
          </w:tcPr>
          <w:p w14:paraId="279A407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187" w:type="pct"/>
            <w:shd w:val="clear" w:color="auto" w:fill="auto"/>
            <w:vAlign w:val="center"/>
          </w:tcPr>
          <w:p w14:paraId="5689CBD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541" w:type="pct"/>
            <w:shd w:val="clear" w:color="auto" w:fill="auto"/>
            <w:vAlign w:val="center"/>
          </w:tcPr>
          <w:p w14:paraId="322A3C5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506" w:type="pct"/>
            <w:shd w:val="clear" w:color="auto" w:fill="auto"/>
            <w:vAlign w:val="center"/>
          </w:tcPr>
          <w:p w14:paraId="386368F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应用类成果</w:t>
            </w:r>
          </w:p>
        </w:tc>
        <w:tc>
          <w:tcPr>
            <w:tcW w:w="506" w:type="pct"/>
            <w:vMerge w:val="continue"/>
            <w:shd w:val="clear" w:color="auto" w:fill="auto"/>
            <w:vAlign w:val="center"/>
          </w:tcPr>
          <w:p w14:paraId="0E8A6513">
            <w:pPr>
              <w:pStyle w:val="3"/>
              <w:widowControl/>
              <w:autoSpaceDE w:val="0"/>
              <w:autoSpaceDN w:val="0"/>
              <w:adjustRightInd w:val="0"/>
              <w:snapToGrid w:val="0"/>
              <w:textAlignment w:val="baseline"/>
              <w:rPr>
                <w:rFonts w:hint="default" w:ascii="Times New Roman" w:hAnsi="Times New Roman" w:eastAsia="仿宋" w:cs="Times New Roman"/>
                <w:b/>
                <w:bCs/>
                <w:kern w:val="0"/>
                <w:sz w:val="24"/>
                <w:szCs w:val="21"/>
                <w:highlight w:val="none"/>
                <w:lang w:eastAsia="zh-CN"/>
              </w:rPr>
            </w:pPr>
          </w:p>
        </w:tc>
      </w:tr>
      <w:tr w14:paraId="2BA89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47" w:type="pct"/>
            <w:shd w:val="clear" w:color="auto" w:fill="auto"/>
            <w:vAlign w:val="center"/>
          </w:tcPr>
          <w:p w14:paraId="2F5F13F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A</w:t>
            </w:r>
          </w:p>
        </w:tc>
        <w:tc>
          <w:tcPr>
            <w:tcW w:w="511" w:type="pct"/>
            <w:shd w:val="clear" w:color="auto" w:fill="auto"/>
            <w:vAlign w:val="center"/>
          </w:tcPr>
          <w:p w14:paraId="57C81D18">
            <w:pPr>
              <w:jc w:val="center"/>
              <w:rPr>
                <w:rFonts w:hint="default" w:ascii="Times New Roman" w:hAnsi="Times New Roman" w:eastAsia="仿宋" w:cs="Times New Roman"/>
                <w:kern w:val="0"/>
                <w:sz w:val="21"/>
                <w:szCs w:val="21"/>
                <w:highlight w:val="none"/>
              </w:rPr>
            </w:pPr>
          </w:p>
        </w:tc>
        <w:tc>
          <w:tcPr>
            <w:tcW w:w="1499" w:type="pct"/>
            <w:shd w:val="clear" w:color="auto" w:fill="auto"/>
            <w:vAlign w:val="center"/>
          </w:tcPr>
          <w:p w14:paraId="1036A22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1.作为主要完成人获创新创业“三大赛”国赛金奖/“大挑”特等奖（排名前三）；或创新创业“三大赛”国赛/“大挑”一等奖（排名前二）。</w:t>
            </w:r>
          </w:p>
          <w:p w14:paraId="66CF413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2.作为主要完成人获国家科技技术奖励（国家自然科学奖、国家技术发明奖、国家科学技术进步奖）（一等奖排名前五、二等奖排名前三）。</w:t>
            </w:r>
          </w:p>
          <w:p w14:paraId="618DB88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3.教育部高等学校科学研究优秀成果奖（科学技术和哲学社会科学）（一等奖排名前五、二等奖排名前三）。</w:t>
            </w:r>
          </w:p>
          <w:p w14:paraId="2AFBCD1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4.主持国家级科研项目（结题验收通过）。</w:t>
            </w:r>
          </w:p>
          <w:p w14:paraId="2C6FFB8E">
            <w:pPr>
              <w:pStyle w:val="3"/>
              <w:widowControl/>
              <w:shd w:val="clear" w:color="auto" w:fill="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5.主持国家社会科学基金项目（结题验收通过）。</w:t>
            </w:r>
          </w:p>
        </w:tc>
        <w:tc>
          <w:tcPr>
            <w:tcW w:w="1187" w:type="pct"/>
            <w:shd w:val="clear" w:color="auto" w:fill="auto"/>
            <w:vAlign w:val="center"/>
          </w:tcPr>
          <w:p w14:paraId="5F12461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在《苏州大学人文社会科学高质量论文管理办法》中认定属于“一类顶级论文”“一类权威论文”和“其他一类论文”的。</w:t>
            </w:r>
          </w:p>
        </w:tc>
        <w:tc>
          <w:tcPr>
            <w:tcW w:w="541" w:type="pct"/>
            <w:shd w:val="clear" w:color="auto" w:fill="auto"/>
            <w:vAlign w:val="center"/>
          </w:tcPr>
          <w:p w14:paraId="5B17891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06" w:type="pct"/>
            <w:shd w:val="clear" w:color="auto" w:fill="auto"/>
            <w:vAlign w:val="center"/>
          </w:tcPr>
          <w:p w14:paraId="30F4168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restart"/>
            <w:shd w:val="clear" w:color="auto" w:fill="auto"/>
            <w:vAlign w:val="center"/>
          </w:tcPr>
          <w:p w14:paraId="1F11B9C0">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学术博士（以下</w:t>
            </w:r>
            <w:r>
              <w:rPr>
                <w:rFonts w:hint="default" w:ascii="Times New Roman" w:hAnsi="Times New Roman" w:eastAsia="仿宋" w:cs="Times New Roman"/>
                <w:b/>
                <w:bCs/>
                <w:kern w:val="0"/>
                <w:sz w:val="21"/>
                <w:szCs w:val="18"/>
                <w:highlight w:val="none"/>
                <w:lang w:val="en-US" w:eastAsia="zh-CN"/>
              </w:rPr>
              <w:t>3</w:t>
            </w:r>
            <w:r>
              <w:rPr>
                <w:rFonts w:hint="default" w:ascii="Times New Roman" w:hAnsi="Times New Roman" w:eastAsia="仿宋" w:cs="Times New Roman"/>
                <w:b/>
                <w:bCs/>
                <w:kern w:val="0"/>
                <w:sz w:val="21"/>
                <w:szCs w:val="18"/>
                <w:highlight w:val="none"/>
                <w:lang w:eastAsia="zh-CN"/>
              </w:rPr>
              <w:t>项满足任意1项）：</w:t>
            </w:r>
          </w:p>
          <w:p w14:paraId="060FB9C5">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1.第1-4类A等以上成果至少1项；</w:t>
            </w:r>
          </w:p>
          <w:p w14:paraId="245664D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2.第1-4类B等成果至少2项；</w:t>
            </w:r>
          </w:p>
          <w:p w14:paraId="2166DD9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3.第1-4类C等以上成果至少3项。</w:t>
            </w:r>
          </w:p>
          <w:p w14:paraId="333C70E0">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30C3184C">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0952556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 第1-5类D等以上成果1项；</w:t>
            </w:r>
          </w:p>
          <w:p w14:paraId="4787DAB3">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 第1-5类E等以上成果至少2项。</w:t>
            </w:r>
          </w:p>
          <w:p w14:paraId="41DDDC9E">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7765803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0BF40676">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第1-5类E等以上1项</w:t>
            </w:r>
          </w:p>
        </w:tc>
      </w:tr>
      <w:tr w14:paraId="0A81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47" w:type="pct"/>
            <w:shd w:val="clear" w:color="auto" w:fill="auto"/>
            <w:vAlign w:val="center"/>
          </w:tcPr>
          <w:p w14:paraId="7F0C36B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B</w:t>
            </w:r>
          </w:p>
        </w:tc>
        <w:tc>
          <w:tcPr>
            <w:tcW w:w="511" w:type="pct"/>
            <w:shd w:val="clear" w:color="auto" w:fill="auto"/>
            <w:vAlign w:val="center"/>
          </w:tcPr>
          <w:p w14:paraId="27C5F792">
            <w:pPr>
              <w:jc w:val="center"/>
              <w:rPr>
                <w:rFonts w:hint="default" w:ascii="Times New Roman" w:hAnsi="Times New Roman" w:eastAsia="仿宋" w:cs="Times New Roman"/>
                <w:b/>
                <w:bCs/>
                <w:kern w:val="0"/>
                <w:sz w:val="21"/>
                <w:szCs w:val="21"/>
                <w:highlight w:val="none"/>
              </w:rPr>
            </w:pPr>
          </w:p>
        </w:tc>
        <w:tc>
          <w:tcPr>
            <w:tcW w:w="1499" w:type="pct"/>
            <w:shd w:val="clear" w:color="auto" w:fill="auto"/>
            <w:vAlign w:val="center"/>
          </w:tcPr>
          <w:p w14:paraId="01806F99">
            <w:pPr>
              <w:pStyle w:val="3"/>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1.作为主要完成人获创新创业“三大赛”国赛/“大挑”二等奖/三等奖排名第一。</w:t>
            </w:r>
          </w:p>
          <w:p w14:paraId="2E5664F9">
            <w:pPr>
              <w:pStyle w:val="3"/>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2.作为主要完成人获省级科技技术奖励（自然科学奖、技术发明奖、科学技术进步奖）（一等奖排名前五、二等奖排名前三）。</w:t>
            </w:r>
          </w:p>
          <w:p w14:paraId="6092BB9D">
            <w:pPr>
              <w:pStyle w:val="3"/>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3.作为主要完成人获得省级高等学校科学研究优秀成果奖（科学技术和哲学社会科学）（一等奖排名前五、二等奖排名前三）。</w:t>
            </w:r>
          </w:p>
          <w:p w14:paraId="35F54402">
            <w:pPr>
              <w:pStyle w:val="3"/>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4.主持省部级科研项目（结题验收通过）。</w:t>
            </w:r>
          </w:p>
          <w:p w14:paraId="4796FCE7">
            <w:pPr>
              <w:pStyle w:val="12"/>
              <w:numPr>
                <w:ilvl w:val="0"/>
                <w:numId w:val="0"/>
              </w:numPr>
              <w:shd w:val="clear" w:color="auto"/>
              <w:spacing w:before="0"/>
              <w:rPr>
                <w:rFonts w:hint="default" w:ascii="Times New Roman" w:hAnsi="Times New Roman" w:eastAsia="仿宋" w:cs="Times New Roman"/>
                <w:sz w:val="21"/>
                <w:szCs w:val="21"/>
                <w:highlight w:val="none"/>
              </w:rPr>
            </w:pPr>
            <w:r>
              <w:rPr>
                <w:rFonts w:hint="default" w:ascii="Times New Roman" w:hAnsi="Times New Roman" w:eastAsia="仿宋" w:cs="Times New Roman"/>
                <w:kern w:val="0"/>
                <w:sz w:val="21"/>
                <w:szCs w:val="21"/>
                <w:highlight w:val="none"/>
                <w:lang w:eastAsia="zh-CN"/>
              </w:rPr>
              <w:t>5.主持教育部人文社会科学研究项目社会科学基金项目（结题验收通过）。</w:t>
            </w:r>
          </w:p>
        </w:tc>
        <w:tc>
          <w:tcPr>
            <w:tcW w:w="1187" w:type="pct"/>
            <w:shd w:val="clear" w:color="auto" w:fill="auto"/>
            <w:vAlign w:val="center"/>
          </w:tcPr>
          <w:p w14:paraId="0671113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在《苏州大学人文社会科学高质量论文管理办法》中认定属于“二类论文”的。</w:t>
            </w:r>
          </w:p>
          <w:p w14:paraId="3AAF63D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41" w:type="pct"/>
            <w:shd w:val="clear" w:color="auto" w:fill="auto"/>
            <w:vAlign w:val="center"/>
          </w:tcPr>
          <w:p w14:paraId="75972E8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shd w:val="clear" w:color="auto" w:fill="auto"/>
            <w:vAlign w:val="center"/>
          </w:tcPr>
          <w:p w14:paraId="43E042E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0D72DC81">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78C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47" w:type="pct"/>
            <w:shd w:val="clear" w:color="auto" w:fill="auto"/>
            <w:vAlign w:val="center"/>
          </w:tcPr>
          <w:p w14:paraId="364B21F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C</w:t>
            </w:r>
          </w:p>
        </w:tc>
        <w:tc>
          <w:tcPr>
            <w:tcW w:w="511" w:type="pct"/>
            <w:shd w:val="clear" w:color="auto" w:fill="auto"/>
            <w:vAlign w:val="center"/>
          </w:tcPr>
          <w:p w14:paraId="440D650B">
            <w:pPr>
              <w:jc w:val="center"/>
              <w:rPr>
                <w:rFonts w:hint="default" w:ascii="Times New Roman" w:hAnsi="Times New Roman" w:eastAsia="仿宋" w:cs="Times New Roman"/>
                <w:b/>
                <w:bCs/>
                <w:kern w:val="0"/>
                <w:sz w:val="21"/>
                <w:szCs w:val="21"/>
                <w:highlight w:val="none"/>
              </w:rPr>
            </w:pPr>
            <w:r>
              <w:rPr>
                <w:rFonts w:hint="default" w:ascii="Times New Roman" w:hAnsi="Times New Roman" w:eastAsia="仿宋" w:cs="Times New Roman"/>
                <w:b w:val="0"/>
                <w:bCs w:val="0"/>
                <w:kern w:val="0"/>
                <w:sz w:val="21"/>
                <w:szCs w:val="21"/>
                <w:highlight w:val="none"/>
              </w:rPr>
              <w:t>5A（博士）</w:t>
            </w:r>
          </w:p>
        </w:tc>
        <w:tc>
          <w:tcPr>
            <w:tcW w:w="1499" w:type="pct"/>
            <w:shd w:val="clear" w:color="auto" w:fill="auto"/>
            <w:vAlign w:val="center"/>
          </w:tcPr>
          <w:p w14:paraId="27494C7E">
            <w:pPr>
              <w:pStyle w:val="3"/>
              <w:widowControl/>
              <w:shd w:val="clear" w:color="auto" w:fill="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447C280F">
            <w:pPr>
              <w:pStyle w:val="3"/>
              <w:widowControl/>
              <w:shd w:val="clear" w:color="auto" w:fill="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45B85BF4">
            <w:pPr>
              <w:pStyle w:val="3"/>
              <w:widowControl/>
              <w:shd w:val="clear" w:color="auto" w:fill="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322FD4C1">
            <w:pPr>
              <w:pStyle w:val="3"/>
              <w:widowControl/>
              <w:shd w:val="clear" w:color="auto" w:fill="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187" w:type="pct"/>
            <w:shd w:val="clear" w:color="auto" w:fill="auto"/>
            <w:vAlign w:val="center"/>
          </w:tcPr>
          <w:p w14:paraId="0F658A8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1.在《苏州大学人文社会科学高质量论文管理办法》中认定属于“三类论文”的。</w:t>
            </w:r>
          </w:p>
          <w:p w14:paraId="7486865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2.CSSCI扩展版期刊论文。</w:t>
            </w:r>
          </w:p>
        </w:tc>
        <w:tc>
          <w:tcPr>
            <w:tcW w:w="541" w:type="pct"/>
            <w:shd w:val="clear" w:color="auto" w:fill="auto"/>
            <w:vAlign w:val="center"/>
          </w:tcPr>
          <w:p w14:paraId="2B1CBC9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shd w:val="clear" w:color="auto" w:fill="auto"/>
            <w:vAlign w:val="center"/>
          </w:tcPr>
          <w:p w14:paraId="44BCD00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1.授权实用新型专利。</w:t>
            </w:r>
          </w:p>
          <w:p w14:paraId="1A855BD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2.授权软件著作权。</w:t>
            </w:r>
          </w:p>
          <w:p w14:paraId="0921CD0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3.授权外观设计专利。</w:t>
            </w:r>
          </w:p>
          <w:p w14:paraId="1C6F04E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 申请国家发明专利。（限一项）。</w:t>
            </w:r>
          </w:p>
          <w:p w14:paraId="087AE384">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6D76F473">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7493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47" w:type="pct"/>
            <w:shd w:val="clear" w:color="auto" w:fill="auto"/>
            <w:vAlign w:val="center"/>
          </w:tcPr>
          <w:p w14:paraId="40B3465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D</w:t>
            </w:r>
          </w:p>
        </w:tc>
        <w:tc>
          <w:tcPr>
            <w:tcW w:w="511" w:type="pct"/>
            <w:shd w:val="clear" w:color="auto" w:fill="auto"/>
            <w:vAlign w:val="center"/>
          </w:tcPr>
          <w:p w14:paraId="389F3D18">
            <w:pPr>
              <w:jc w:val="center"/>
              <w:rPr>
                <w:rFonts w:hint="default" w:ascii="Times New Roman" w:hAnsi="Times New Roman" w:eastAsia="仿宋" w:cs="Times New Roman"/>
                <w:kern w:val="0"/>
                <w:sz w:val="21"/>
                <w:szCs w:val="21"/>
                <w:highlight w:val="none"/>
              </w:rPr>
            </w:pPr>
          </w:p>
        </w:tc>
        <w:tc>
          <w:tcPr>
            <w:tcW w:w="1499" w:type="pct"/>
            <w:shd w:val="clear" w:color="auto" w:fill="auto"/>
            <w:vAlign w:val="center"/>
          </w:tcPr>
          <w:p w14:paraId="2D2C03E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118F824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tc>
        <w:tc>
          <w:tcPr>
            <w:tcW w:w="1187" w:type="pct"/>
            <w:shd w:val="clear" w:color="auto" w:fill="auto"/>
            <w:vAlign w:val="center"/>
          </w:tcPr>
          <w:p w14:paraId="0F9C422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北大中文核心期刊论文。</w:t>
            </w:r>
          </w:p>
        </w:tc>
        <w:tc>
          <w:tcPr>
            <w:tcW w:w="541" w:type="pct"/>
            <w:shd w:val="clear" w:color="auto" w:fill="auto"/>
            <w:vAlign w:val="center"/>
          </w:tcPr>
          <w:p w14:paraId="78A26CE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公开出版学术著作（不少于3万字，排名前一）。</w:t>
            </w:r>
          </w:p>
        </w:tc>
        <w:tc>
          <w:tcPr>
            <w:tcW w:w="506" w:type="pct"/>
            <w:shd w:val="clear" w:color="auto" w:fill="auto"/>
            <w:vAlign w:val="center"/>
          </w:tcPr>
          <w:p w14:paraId="5270CC8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4C625CE9">
            <w:pPr>
              <w:pStyle w:val="3"/>
              <w:widowControl/>
              <w:autoSpaceDE w:val="0"/>
              <w:autoSpaceDN w:val="0"/>
              <w:adjustRightInd w:val="0"/>
              <w:snapToGrid w:val="0"/>
              <w:textAlignment w:val="baseline"/>
              <w:rPr>
                <w:rFonts w:hint="default" w:ascii="Times New Roman" w:hAnsi="Times New Roman" w:eastAsia="仿宋" w:cs="Times New Roman"/>
                <w:kern w:val="0"/>
                <w:highlight w:val="none"/>
                <w:lang w:eastAsia="zh-CN"/>
              </w:rPr>
            </w:pPr>
          </w:p>
        </w:tc>
      </w:tr>
      <w:tr w14:paraId="581A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47" w:type="pct"/>
            <w:shd w:val="clear" w:color="auto" w:fill="auto"/>
            <w:vAlign w:val="center"/>
          </w:tcPr>
          <w:p w14:paraId="4D4A9BA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E</w:t>
            </w:r>
          </w:p>
        </w:tc>
        <w:tc>
          <w:tcPr>
            <w:tcW w:w="511" w:type="pct"/>
            <w:shd w:val="clear" w:color="auto" w:fill="auto"/>
            <w:vAlign w:val="center"/>
          </w:tcPr>
          <w:p w14:paraId="42417263">
            <w:pPr>
              <w:jc w:val="center"/>
              <w:rPr>
                <w:rFonts w:hint="default" w:ascii="Times New Roman" w:hAnsi="Times New Roman" w:eastAsia="仿宋" w:cs="Times New Roman"/>
                <w:b/>
                <w:bCs/>
                <w:kern w:val="0"/>
                <w:sz w:val="21"/>
                <w:szCs w:val="21"/>
                <w:highlight w:val="none"/>
              </w:rPr>
            </w:pPr>
            <w:r>
              <w:rPr>
                <w:rFonts w:hint="default" w:ascii="Times New Roman" w:hAnsi="Times New Roman" w:eastAsia="仿宋" w:cs="Times New Roman"/>
                <w:kern w:val="0"/>
                <w:sz w:val="21"/>
                <w:szCs w:val="21"/>
                <w:highlight w:val="none"/>
              </w:rPr>
              <w:t>3A（硕士）</w:t>
            </w:r>
          </w:p>
        </w:tc>
        <w:tc>
          <w:tcPr>
            <w:tcW w:w="1499" w:type="pct"/>
            <w:shd w:val="clear" w:color="auto" w:fill="auto"/>
            <w:vAlign w:val="center"/>
          </w:tcPr>
          <w:p w14:paraId="63CE265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187" w:type="pct"/>
            <w:shd w:val="clear" w:color="auto" w:fill="auto"/>
            <w:vAlign w:val="center"/>
          </w:tcPr>
          <w:p w14:paraId="1254F95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1.公开出版的中文普通学术期刊论文。</w:t>
            </w:r>
          </w:p>
          <w:p w14:paraId="60EEFE7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2.公开出版的外文普通学术期刊论文。</w:t>
            </w:r>
          </w:p>
          <w:p w14:paraId="4BA5C08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3.公开出版的国际或全国性学术会议。论文集上发表或出版的学术论文、报告（包括调研报告、案例分析报告、实验报告等）。</w:t>
            </w:r>
          </w:p>
        </w:tc>
        <w:tc>
          <w:tcPr>
            <w:tcW w:w="541" w:type="pct"/>
            <w:shd w:val="clear" w:color="auto" w:fill="auto"/>
            <w:vAlign w:val="center"/>
          </w:tcPr>
          <w:p w14:paraId="30D6C61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公开出版学术著作（不少于3万字，排名前三）。</w:t>
            </w:r>
          </w:p>
        </w:tc>
        <w:tc>
          <w:tcPr>
            <w:tcW w:w="506" w:type="pct"/>
            <w:shd w:val="clear" w:color="auto" w:fill="auto"/>
            <w:vAlign w:val="center"/>
          </w:tcPr>
          <w:p w14:paraId="01CFA1A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p w14:paraId="157987F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7262EC9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793DB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247" w:type="pct"/>
            <w:shd w:val="clear" w:color="auto" w:fill="auto"/>
            <w:vAlign w:val="center"/>
          </w:tcPr>
          <w:p w14:paraId="0E37BA7C">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说明</w:t>
            </w:r>
          </w:p>
        </w:tc>
        <w:tc>
          <w:tcPr>
            <w:tcW w:w="511" w:type="pct"/>
            <w:shd w:val="clear" w:color="auto" w:fill="auto"/>
            <w:vAlign w:val="center"/>
          </w:tcPr>
          <w:p w14:paraId="2D07C673">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学校统一组织的论文盲审评阅结果，仅限首次送审且未经盲审申诉。</w:t>
            </w:r>
          </w:p>
          <w:p w14:paraId="1E54F801">
            <w:pPr>
              <w:rPr>
                <w:rFonts w:hint="default" w:ascii="Times New Roman" w:hAnsi="Times New Roman" w:eastAsia="仿宋" w:cs="Times New Roman"/>
                <w:kern w:val="0"/>
                <w:sz w:val="20"/>
                <w:szCs w:val="21"/>
                <w:highlight w:val="none"/>
              </w:rPr>
            </w:pPr>
          </w:p>
        </w:tc>
        <w:tc>
          <w:tcPr>
            <w:tcW w:w="1499" w:type="pct"/>
            <w:shd w:val="clear" w:color="auto" w:fill="auto"/>
            <w:vAlign w:val="center"/>
          </w:tcPr>
          <w:p w14:paraId="278E6E93">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1.署名要求：苏州大学（英文名为Soochow University）为第一署名单位，且</w:t>
            </w:r>
            <w:r>
              <w:rPr>
                <w:rFonts w:hint="default" w:ascii="Times New Roman" w:hAnsi="Times New Roman" w:eastAsia="仿宋" w:cs="Times New Roman"/>
                <w:kern w:val="0"/>
                <w:sz w:val="20"/>
                <w:szCs w:val="21"/>
                <w:highlight w:val="none"/>
                <w:lang w:val="en-US" w:eastAsia="zh-CN"/>
              </w:rPr>
              <w:t>成果</w:t>
            </w:r>
            <w:r>
              <w:rPr>
                <w:rFonts w:hint="default" w:ascii="Times New Roman" w:hAnsi="Times New Roman" w:eastAsia="仿宋" w:cs="Times New Roman"/>
                <w:kern w:val="0"/>
                <w:sz w:val="20"/>
                <w:szCs w:val="21"/>
                <w:highlight w:val="none"/>
              </w:rPr>
              <w:t>须对应论文章节。</w:t>
            </w:r>
          </w:p>
          <w:p w14:paraId="1E34B3A7">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1"/>
                <w:szCs w:val="21"/>
                <w:highlight w:val="none"/>
                <w:lang w:eastAsia="zh-CN"/>
              </w:rPr>
              <w:t>2.</w:t>
            </w:r>
            <w:r>
              <w:rPr>
                <w:rFonts w:hint="default" w:ascii="Times New Roman" w:hAnsi="Times New Roman" w:eastAsia="仿宋" w:cs="Times New Roman"/>
                <w:kern w:val="0"/>
                <w:sz w:val="20"/>
                <w:szCs w:val="21"/>
                <w:highlight w:val="none"/>
              </w:rPr>
              <w:t>《全国普通高校大学生竞赛目录》以申报当年中国高等教育学会发布为准。</w:t>
            </w:r>
          </w:p>
          <w:p w14:paraId="66DCD49F">
            <w:pPr>
              <w:rPr>
                <w:rFonts w:hint="default" w:ascii="Times New Roman" w:hAnsi="Times New Roman" w:eastAsia="仿宋" w:cs="Times New Roman"/>
                <w:kern w:val="0"/>
                <w:sz w:val="20"/>
                <w:szCs w:val="21"/>
                <w:highlight w:val="none"/>
              </w:rPr>
            </w:pPr>
          </w:p>
        </w:tc>
        <w:tc>
          <w:tcPr>
            <w:tcW w:w="1187" w:type="pct"/>
            <w:shd w:val="clear" w:color="auto" w:fill="auto"/>
            <w:vAlign w:val="center"/>
          </w:tcPr>
          <w:p w14:paraId="40D5D87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66DF0F7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16625E0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3.对于学科交叉的，人文社科类研究生发表SCI论文可视为发表对应档的高质量论文，SCI一区二区视同“一类”，三区四区视同“二类”。</w:t>
            </w:r>
          </w:p>
          <w:p w14:paraId="56BE9CD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6993E3EE">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5.署名要求：苏州大学（英文名为Soochow University）为第一署名单位，并注明培养单位。</w:t>
            </w:r>
          </w:p>
          <w:p w14:paraId="699C1D04">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（1）独著、第一作者或通讯作者。</w:t>
            </w:r>
          </w:p>
          <w:p w14:paraId="25121073">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（2）研究生与其指导教师联名（指导教师排名第一，研究生排名第二）发表的学术论文，可纳入相应的论文统计，但仅限1篇。</w:t>
            </w:r>
          </w:p>
          <w:p w14:paraId="410DD821">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6.英文学术论文要求 online（可查 DOI 编号）方可计入。中文学术论文必须是见刊或网络在线发表（接收函无效）。</w:t>
            </w:r>
          </w:p>
        </w:tc>
        <w:tc>
          <w:tcPr>
            <w:tcW w:w="541" w:type="pct"/>
            <w:shd w:val="clear" w:color="auto" w:fill="auto"/>
            <w:vAlign w:val="center"/>
          </w:tcPr>
          <w:p w14:paraId="4B294759">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09A3079D">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lang w:eastAsia="zh-CN"/>
              </w:rPr>
              <w:t>2.同一个著作成果只能用作1次申请学位。</w:t>
            </w:r>
          </w:p>
        </w:tc>
        <w:tc>
          <w:tcPr>
            <w:tcW w:w="506" w:type="pct"/>
            <w:shd w:val="clear" w:color="auto" w:fill="auto"/>
            <w:vAlign w:val="center"/>
          </w:tcPr>
          <w:p w14:paraId="4E67C33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7DB7E844">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2.应用类成果须为排名第一，或导师排名第一学生第二。</w:t>
            </w:r>
          </w:p>
          <w:p w14:paraId="6875D53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3.专利奖仅认可政府部门设立的相关奖项。</w:t>
            </w:r>
            <w:bookmarkStart w:id="0" w:name="_GoBack"/>
            <w:bookmarkEnd w:id="0"/>
          </w:p>
        </w:tc>
        <w:tc>
          <w:tcPr>
            <w:tcW w:w="506" w:type="pct"/>
            <w:vMerge w:val="continue"/>
            <w:shd w:val="clear" w:color="auto" w:fill="auto"/>
            <w:vAlign w:val="center"/>
          </w:tcPr>
          <w:p w14:paraId="1356851F">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22EF2FF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002B09CC"/>
    <w:rsid w:val="00165BCB"/>
    <w:rsid w:val="001814AD"/>
    <w:rsid w:val="002768C1"/>
    <w:rsid w:val="002B09CC"/>
    <w:rsid w:val="00520550"/>
    <w:rsid w:val="00551715"/>
    <w:rsid w:val="005B44E1"/>
    <w:rsid w:val="005E11B3"/>
    <w:rsid w:val="005E6CF7"/>
    <w:rsid w:val="005F3684"/>
    <w:rsid w:val="00631D57"/>
    <w:rsid w:val="00631E81"/>
    <w:rsid w:val="0069567F"/>
    <w:rsid w:val="008424C8"/>
    <w:rsid w:val="00915BA9"/>
    <w:rsid w:val="00A346F1"/>
    <w:rsid w:val="00A813D3"/>
    <w:rsid w:val="00AB25C7"/>
    <w:rsid w:val="00AE6FE6"/>
    <w:rsid w:val="00B30DF2"/>
    <w:rsid w:val="00B9674C"/>
    <w:rsid w:val="00BA1A01"/>
    <w:rsid w:val="00C810BD"/>
    <w:rsid w:val="00D06C27"/>
    <w:rsid w:val="00D10925"/>
    <w:rsid w:val="00DD2499"/>
    <w:rsid w:val="00F46BDC"/>
    <w:rsid w:val="03F921A0"/>
    <w:rsid w:val="04222830"/>
    <w:rsid w:val="0A7E297D"/>
    <w:rsid w:val="1B363F3E"/>
    <w:rsid w:val="23690159"/>
    <w:rsid w:val="238E7B2E"/>
    <w:rsid w:val="2B557916"/>
    <w:rsid w:val="2C2119E4"/>
    <w:rsid w:val="39626731"/>
    <w:rsid w:val="4EC0239F"/>
    <w:rsid w:val="514B6318"/>
    <w:rsid w:val="65D05A5F"/>
    <w:rsid w:val="66431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autoRedefine/>
    <w:qFormat/>
    <w:uiPriority w:val="0"/>
    <w:pPr>
      <w:jc w:val="left"/>
    </w:pPr>
  </w:style>
  <w:style w:type="paragraph" w:styleId="3">
    <w:name w:val="Body Text"/>
    <w:basedOn w:val="1"/>
    <w:link w:val="11"/>
    <w:autoRedefine/>
    <w:qFormat/>
    <w:uiPriority w:val="0"/>
    <w:rPr>
      <w:rFonts w:ascii="仿宋_GB2312" w:hAnsi="仿宋_GB2312" w:eastAsia="仿宋_GB2312" w:cs="仿宋_GB2312"/>
      <w:sz w:val="28"/>
      <w:szCs w:val="28"/>
      <w:lang w:eastAsia="en-US"/>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autoRedefine/>
    <w:qFormat/>
    <w:uiPriority w:val="0"/>
    <w:rPr>
      <w:sz w:val="21"/>
      <w:szCs w:val="21"/>
    </w:rPr>
  </w:style>
  <w:style w:type="character" w:customStyle="1" w:styleId="10">
    <w:name w:val="批注文字 字符"/>
    <w:basedOn w:val="8"/>
    <w:link w:val="2"/>
    <w:autoRedefine/>
    <w:qFormat/>
    <w:uiPriority w:val="0"/>
    <w:rPr>
      <w:rFonts w:ascii="Calibri" w:hAnsi="Calibri" w:eastAsia="宋体" w:cs="宋体"/>
      <w:szCs w:val="24"/>
      <w14:ligatures w14:val="none"/>
    </w:rPr>
  </w:style>
  <w:style w:type="character" w:customStyle="1" w:styleId="11">
    <w:name w:val="正文文本 字符"/>
    <w:basedOn w:val="8"/>
    <w:link w:val="3"/>
    <w:autoRedefine/>
    <w:qFormat/>
    <w:uiPriority w:val="0"/>
    <w:rPr>
      <w:rFonts w:ascii="仿宋_GB2312" w:hAnsi="仿宋_GB2312" w:eastAsia="仿宋_GB2312" w:cs="仿宋_GB2312"/>
      <w:sz w:val="28"/>
      <w:szCs w:val="28"/>
      <w:lang w:eastAsia="en-US"/>
      <w14:ligatures w14:val="none"/>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paragraph" w:customStyle="1" w:styleId="13">
    <w:name w:val="Revision"/>
    <w:hidden/>
    <w:unhideWhenUsed/>
    <w:qFormat/>
    <w:uiPriority w:val="99"/>
    <w:rPr>
      <w:rFonts w:ascii="Calibri" w:hAnsi="Calibri" w:eastAsia="宋体" w:cs="宋体"/>
      <w:kern w:val="2"/>
      <w:sz w:val="21"/>
      <w:szCs w:val="24"/>
      <w:lang w:val="en-US" w:eastAsia="zh-CN" w:bidi="ar-SA"/>
    </w:rPr>
  </w:style>
  <w:style w:type="character" w:customStyle="1" w:styleId="14">
    <w:name w:val="页眉 字符"/>
    <w:basedOn w:val="8"/>
    <w:link w:val="5"/>
    <w:qFormat/>
    <w:uiPriority w:val="99"/>
    <w:rPr>
      <w:rFonts w:ascii="Calibri" w:hAnsi="Calibri" w:eastAsia="宋体" w:cs="宋体"/>
      <w:kern w:val="2"/>
      <w:sz w:val="18"/>
      <w:szCs w:val="18"/>
    </w:rPr>
  </w:style>
  <w:style w:type="character" w:customStyle="1" w:styleId="15">
    <w:name w:val="页脚 字符"/>
    <w:basedOn w:val="8"/>
    <w:link w:val="4"/>
    <w:qFormat/>
    <w:uiPriority w:val="99"/>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1930</Words>
  <Characters>2081</Characters>
  <Lines>19</Lines>
  <Paragraphs>5</Paragraphs>
  <TotalTime>1</TotalTime>
  <ScaleCrop>false</ScaleCrop>
  <LinksUpToDate>false</LinksUpToDate>
  <CharactersWithSpaces>2091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2024-11-28T02:48:00Z</dcterms:created>
  <dc:creator>zhou amil</dc:creator>
  <cp:lastModifiedBy>研究生院学位办</cp:lastModifiedBy>
  <dcterms:modified xsi:type="dcterms:W3CDTF">2025-09-16T07:26:26Z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CA433B0A25844283983586CCA856487A_12</vt:lpwstr>
  </property>
  <property fmtid="{D5CDD505-2E9C-101B-9397-08002B2CF9AE}" pid="4" name="KSOTemplateDocerSaveRecord">
    <vt:lpwstr>eyJoZGlkIjoiMzc2NDdmNTE0MGU5Y2NmMTAyNWNkZjcyOWMyMDVkMjQiLCJ1c2VySWQiOiIyNTAwNTUxMDIifQ==</vt:lpwstr>
  </property>
</Properties>
</file>