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D177EA">
      <w:pPr>
        <w:spacing w:after="156" w:afterLines="50"/>
        <w:jc w:val="center"/>
        <w:rPr>
          <w:rFonts w:hint="eastAsia" w:ascii="黑体" w:hAnsi="黑体" w:eastAsia="黑体" w:cs="黑体"/>
          <w:kern w:val="0"/>
          <w:sz w:val="40"/>
          <w:szCs w:val="40"/>
          <w:lang w:val="en-US" w:eastAsia="zh-CN" w:bidi="ar"/>
        </w:rPr>
      </w:pPr>
      <w:r>
        <w:rPr>
          <w:rFonts w:hint="eastAsia" w:ascii="黑体" w:hAnsi="黑体" w:eastAsia="黑体" w:cs="黑体"/>
          <w:kern w:val="0"/>
          <w:sz w:val="40"/>
          <w:szCs w:val="40"/>
          <w:lang w:val="en-US" w:eastAsia="zh-CN" w:bidi="ar"/>
        </w:rPr>
        <w:t xml:space="preserve"> 外国语学院研究生申请学位创新性研究成果具体标准</w:t>
      </w:r>
      <w:bookmarkStart w:id="0" w:name="_GoBack"/>
      <w:bookmarkEnd w:id="0"/>
    </w:p>
    <w:p w14:paraId="7B1EF5CD">
      <w:pPr>
        <w:widowControl/>
        <w:spacing w:after="156" w:afterLines="50"/>
        <w:ind w:firstLine="640" w:firstLineChars="200"/>
        <w:jc w:val="left"/>
        <w:rPr>
          <w:rFonts w:ascii="Times New Roman" w:hAnsi="Times New Roman" w:eastAsia="仿宋" w:cs="仿宋_GB2312"/>
          <w:kern w:val="0"/>
          <w:sz w:val="32"/>
          <w:szCs w:val="31"/>
          <w:lang w:bidi="ar"/>
        </w:rPr>
      </w:pPr>
      <w:r>
        <w:rPr>
          <w:rFonts w:ascii="Times New Roman" w:hAnsi="Times New Roman" w:eastAsia="仿宋" w:cs="仿宋_GB2312"/>
          <w:kern w:val="0"/>
          <w:sz w:val="32"/>
          <w:szCs w:val="31"/>
          <w:lang w:bidi="ar"/>
        </w:rPr>
        <w:t>经</w:t>
      </w:r>
      <w:r>
        <w:rPr>
          <w:rFonts w:hint="eastAsia" w:ascii="Times New Roman" w:hAnsi="Times New Roman" w:eastAsia="仿宋" w:cs="仿宋_GB2312"/>
          <w:kern w:val="0"/>
          <w:sz w:val="32"/>
          <w:szCs w:val="31"/>
          <w:lang w:bidi="ar"/>
        </w:rPr>
        <w:t>外国语学院</w:t>
      </w:r>
      <w:r>
        <w:rPr>
          <w:rFonts w:ascii="Times New Roman" w:hAnsi="Times New Roman" w:eastAsia="仿宋" w:cs="仿宋_GB2312"/>
          <w:kern w:val="0"/>
          <w:sz w:val="32"/>
          <w:szCs w:val="31"/>
          <w:lang w:bidi="ar"/>
        </w:rPr>
        <w:t>学位评定分委员会讨论，对</w:t>
      </w:r>
      <w:r>
        <w:rPr>
          <w:rFonts w:hint="eastAsia" w:ascii="Times New Roman" w:hAnsi="Times New Roman" w:eastAsia="仿宋" w:cs="仿宋_GB2312"/>
          <w:kern w:val="0"/>
          <w:sz w:val="32"/>
          <w:szCs w:val="31"/>
          <w:lang w:bidi="ar"/>
        </w:rPr>
        <w:t>本单位</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kern w:val="0"/>
          <w:sz w:val="32"/>
          <w:szCs w:val="31"/>
          <w:lang w:bidi="ar"/>
        </w:rPr>
        <w:t>：</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1333"/>
        <w:gridCol w:w="4082"/>
        <w:gridCol w:w="3494"/>
        <w:gridCol w:w="1622"/>
        <w:gridCol w:w="1435"/>
        <w:gridCol w:w="1435"/>
      </w:tblGrid>
      <w:tr w14:paraId="4C650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1" w:type="pct"/>
            <w:shd w:val="clear" w:color="auto" w:fill="auto"/>
            <w:vAlign w:val="center"/>
          </w:tcPr>
          <w:p w14:paraId="37B03128">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类型</w:t>
            </w:r>
          </w:p>
        </w:tc>
        <w:tc>
          <w:tcPr>
            <w:tcW w:w="470" w:type="pct"/>
            <w:shd w:val="clear" w:color="auto" w:fill="auto"/>
            <w:vAlign w:val="center"/>
          </w:tcPr>
          <w:p w14:paraId="3728AC6A">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第1类</w:t>
            </w:r>
          </w:p>
        </w:tc>
        <w:tc>
          <w:tcPr>
            <w:tcW w:w="1440" w:type="pct"/>
            <w:shd w:val="clear" w:color="auto" w:fill="auto"/>
            <w:vAlign w:val="center"/>
          </w:tcPr>
          <w:p w14:paraId="35938601">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第2类</w:t>
            </w:r>
          </w:p>
        </w:tc>
        <w:tc>
          <w:tcPr>
            <w:tcW w:w="1232" w:type="pct"/>
            <w:shd w:val="clear" w:color="auto" w:fill="auto"/>
            <w:vAlign w:val="center"/>
          </w:tcPr>
          <w:p w14:paraId="46BBD0F0">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第3类</w:t>
            </w:r>
          </w:p>
        </w:tc>
        <w:tc>
          <w:tcPr>
            <w:tcW w:w="572" w:type="pct"/>
            <w:shd w:val="clear" w:color="auto" w:fill="auto"/>
            <w:vAlign w:val="center"/>
          </w:tcPr>
          <w:p w14:paraId="7AD1EE84">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第4类</w:t>
            </w:r>
          </w:p>
        </w:tc>
        <w:tc>
          <w:tcPr>
            <w:tcW w:w="506" w:type="pct"/>
            <w:shd w:val="clear" w:color="auto" w:fill="auto"/>
            <w:vAlign w:val="center"/>
          </w:tcPr>
          <w:p w14:paraId="6978387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第5类</w:t>
            </w:r>
          </w:p>
        </w:tc>
        <w:tc>
          <w:tcPr>
            <w:tcW w:w="506" w:type="pct"/>
            <w:vMerge w:val="restart"/>
            <w:shd w:val="clear" w:color="auto" w:fill="auto"/>
            <w:vAlign w:val="center"/>
          </w:tcPr>
          <w:p w14:paraId="78077D53">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具体标准</w:t>
            </w:r>
          </w:p>
        </w:tc>
      </w:tr>
      <w:tr w14:paraId="28FA3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 w:type="pct"/>
            <w:shd w:val="clear" w:color="auto" w:fill="auto"/>
            <w:vAlign w:val="center"/>
          </w:tcPr>
          <w:p w14:paraId="28E5E3B7">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等级</w:t>
            </w:r>
          </w:p>
        </w:tc>
        <w:tc>
          <w:tcPr>
            <w:tcW w:w="470" w:type="pct"/>
            <w:shd w:val="clear" w:color="auto" w:fill="auto"/>
            <w:vAlign w:val="center"/>
          </w:tcPr>
          <w:p w14:paraId="27565FC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评阅结果</w:t>
            </w:r>
          </w:p>
        </w:tc>
        <w:tc>
          <w:tcPr>
            <w:tcW w:w="1440" w:type="pct"/>
            <w:shd w:val="clear" w:color="auto" w:fill="auto"/>
            <w:vAlign w:val="center"/>
          </w:tcPr>
          <w:p w14:paraId="287DFBF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实践类成果</w:t>
            </w:r>
          </w:p>
        </w:tc>
        <w:tc>
          <w:tcPr>
            <w:tcW w:w="1232" w:type="pct"/>
            <w:shd w:val="clear" w:color="auto" w:fill="auto"/>
            <w:vAlign w:val="center"/>
          </w:tcPr>
          <w:p w14:paraId="73AE6A76">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学术论文成果</w:t>
            </w:r>
          </w:p>
        </w:tc>
        <w:tc>
          <w:tcPr>
            <w:tcW w:w="572" w:type="pct"/>
            <w:shd w:val="clear" w:color="auto" w:fill="auto"/>
            <w:vAlign w:val="center"/>
          </w:tcPr>
          <w:p w14:paraId="7A706381">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著作成果</w:t>
            </w:r>
          </w:p>
        </w:tc>
        <w:tc>
          <w:tcPr>
            <w:tcW w:w="506" w:type="pct"/>
            <w:shd w:val="clear" w:color="auto" w:fill="auto"/>
            <w:vAlign w:val="center"/>
          </w:tcPr>
          <w:p w14:paraId="1A28A2C9">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应用类成果</w:t>
            </w:r>
          </w:p>
        </w:tc>
        <w:tc>
          <w:tcPr>
            <w:tcW w:w="506" w:type="pct"/>
            <w:vMerge w:val="continue"/>
            <w:shd w:val="clear" w:color="auto" w:fill="auto"/>
            <w:vAlign w:val="center"/>
          </w:tcPr>
          <w:p w14:paraId="2F5426A1">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p>
        </w:tc>
      </w:tr>
      <w:tr w14:paraId="6BAB7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71" w:type="pct"/>
            <w:shd w:val="clear" w:color="auto" w:fill="auto"/>
            <w:vAlign w:val="center"/>
          </w:tcPr>
          <w:p w14:paraId="4D4D6439">
            <w:pPr>
              <w:pStyle w:val="3"/>
              <w:widowControl/>
              <w:autoSpaceDE w:val="0"/>
              <w:autoSpaceDN w:val="0"/>
              <w:adjustRightInd w:val="0"/>
              <w:snapToGrid w:val="0"/>
              <w:textAlignment w:val="baseline"/>
              <w:rPr>
                <w:rFonts w:hint="default" w:ascii="Times New Roman" w:hAnsi="Times New Roman" w:eastAsia="仿宋" w:cs="Times New Roman"/>
                <w:b/>
                <w:bCs/>
                <w:kern w:val="0"/>
                <w:sz w:val="21"/>
                <w:szCs w:val="21"/>
                <w:highlight w:val="none"/>
                <w:lang w:eastAsia="zh-CN"/>
              </w:rPr>
            </w:pPr>
            <w:r>
              <w:rPr>
                <w:rFonts w:hint="default" w:ascii="Times New Roman" w:hAnsi="Times New Roman" w:eastAsia="仿宋" w:cs="Times New Roman"/>
                <w:b/>
                <w:bCs/>
                <w:kern w:val="0"/>
                <w:sz w:val="21"/>
                <w:szCs w:val="21"/>
                <w:highlight w:val="none"/>
                <w:lang w:eastAsia="zh-CN"/>
              </w:rPr>
              <w:t>A</w:t>
            </w:r>
          </w:p>
        </w:tc>
        <w:tc>
          <w:tcPr>
            <w:tcW w:w="470" w:type="pct"/>
            <w:shd w:val="clear" w:color="auto" w:fill="auto"/>
            <w:vAlign w:val="center"/>
          </w:tcPr>
          <w:p w14:paraId="7830E372">
            <w:pPr>
              <w:rPr>
                <w:rFonts w:hint="default" w:ascii="Times New Roman" w:hAnsi="Times New Roman" w:eastAsia="仿宋" w:cs="Times New Roman"/>
                <w:kern w:val="0"/>
                <w:sz w:val="20"/>
                <w:szCs w:val="21"/>
                <w:highlight w:val="none"/>
              </w:rPr>
            </w:pPr>
          </w:p>
        </w:tc>
        <w:tc>
          <w:tcPr>
            <w:tcW w:w="1440" w:type="pct"/>
            <w:shd w:val="clear" w:color="auto" w:fill="auto"/>
            <w:vAlign w:val="center"/>
          </w:tcPr>
          <w:p w14:paraId="60E8BD97">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1.作为主要完成人获创新创业“三大赛”国赛金奖/“大挑”特等奖（排名前三）；或创新创业“三大赛”国赛/“大挑”一等奖（排名前二）。</w:t>
            </w:r>
          </w:p>
          <w:p w14:paraId="79DFD8F2">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2.作为主要完成人获国家科技技术奖励（国家自然科学奖、国家技术发明奖、国家科学技术进步奖）（一等奖排名前五、二等奖排名前三）。</w:t>
            </w:r>
          </w:p>
          <w:p w14:paraId="28E7978F">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3.教育部高等学校科学研究优秀成果奖（科学技术和哲学社会科学）（一等奖排名前五、二等奖排名前三）。</w:t>
            </w:r>
          </w:p>
          <w:p w14:paraId="52418542">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4.主持国家级科研项目（结题验收通过）。</w:t>
            </w:r>
          </w:p>
          <w:p w14:paraId="36C69668">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5.主持国家社会科学基金项目（结题验收通过）。</w:t>
            </w:r>
          </w:p>
        </w:tc>
        <w:tc>
          <w:tcPr>
            <w:tcW w:w="1232" w:type="pct"/>
            <w:shd w:val="clear" w:color="auto" w:fill="auto"/>
            <w:vAlign w:val="center"/>
          </w:tcPr>
          <w:p w14:paraId="1D7F2817">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在《苏州大学人文社会科学高质量论文管理办法》中认定属于“一类顶级论文”“一类权威论文”和“其他一类论文”的。</w:t>
            </w:r>
          </w:p>
        </w:tc>
        <w:tc>
          <w:tcPr>
            <w:tcW w:w="572" w:type="pct"/>
            <w:shd w:val="clear" w:color="auto" w:fill="auto"/>
            <w:vAlign w:val="center"/>
          </w:tcPr>
          <w:p w14:paraId="194D7191">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在国家社科基金后期资助项目公告认定的高水平国家级出版社出版专著或合著（排名第一）。</w:t>
            </w:r>
          </w:p>
        </w:tc>
        <w:tc>
          <w:tcPr>
            <w:tcW w:w="506" w:type="pct"/>
            <w:shd w:val="clear" w:color="auto" w:fill="auto"/>
            <w:vAlign w:val="center"/>
          </w:tcPr>
          <w:p w14:paraId="36394974">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《苏州大学决策咨询类成果管理办法》A类决策咨询成果。</w:t>
            </w:r>
          </w:p>
        </w:tc>
        <w:tc>
          <w:tcPr>
            <w:tcW w:w="506" w:type="pct"/>
            <w:vMerge w:val="restart"/>
            <w:shd w:val="clear" w:color="auto" w:fill="auto"/>
            <w:vAlign w:val="center"/>
          </w:tcPr>
          <w:p w14:paraId="79885257">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学术博士（以下3项满足任意1项）：</w:t>
            </w:r>
          </w:p>
          <w:p w14:paraId="781BFE4C">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1.第1-4类B等</w:t>
            </w:r>
            <w:r>
              <w:rPr>
                <w:rFonts w:hint="eastAsia" w:ascii="Times New Roman" w:hAnsi="Times New Roman" w:eastAsia="仿宋" w:cs="Times New Roman"/>
                <w:kern w:val="0"/>
                <w:sz w:val="21"/>
                <w:szCs w:val="18"/>
                <w:highlight w:val="none"/>
                <w:lang w:val="en-US" w:eastAsia="zh-CN"/>
              </w:rPr>
              <w:t>及</w:t>
            </w:r>
            <w:r>
              <w:rPr>
                <w:rFonts w:hint="default" w:ascii="Times New Roman" w:hAnsi="Times New Roman" w:eastAsia="仿宋" w:cs="Times New Roman"/>
                <w:kern w:val="0"/>
                <w:sz w:val="21"/>
                <w:szCs w:val="18"/>
                <w:highlight w:val="none"/>
                <w:lang w:eastAsia="zh-CN"/>
              </w:rPr>
              <w:t>以上成果至少1项；</w:t>
            </w:r>
          </w:p>
          <w:p w14:paraId="5403A5D2">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2.第1-4类C等</w:t>
            </w:r>
            <w:r>
              <w:rPr>
                <w:rFonts w:hint="eastAsia" w:ascii="Times New Roman" w:hAnsi="Times New Roman" w:eastAsia="仿宋" w:cs="Times New Roman"/>
                <w:kern w:val="0"/>
                <w:sz w:val="21"/>
                <w:szCs w:val="18"/>
                <w:highlight w:val="none"/>
                <w:lang w:val="en-US" w:eastAsia="zh-CN"/>
              </w:rPr>
              <w:t>及以上</w:t>
            </w:r>
            <w:r>
              <w:rPr>
                <w:rFonts w:hint="default" w:ascii="Times New Roman" w:hAnsi="Times New Roman" w:eastAsia="仿宋" w:cs="Times New Roman"/>
                <w:kern w:val="0"/>
                <w:sz w:val="21"/>
                <w:szCs w:val="18"/>
                <w:highlight w:val="none"/>
                <w:lang w:eastAsia="zh-CN"/>
              </w:rPr>
              <w:t>成果至少2项；</w:t>
            </w:r>
          </w:p>
          <w:p w14:paraId="6E4C017E">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3.第1-4类D等</w:t>
            </w:r>
            <w:r>
              <w:rPr>
                <w:rFonts w:hint="eastAsia" w:ascii="Times New Roman" w:hAnsi="Times New Roman" w:eastAsia="仿宋" w:cs="Times New Roman"/>
                <w:kern w:val="0"/>
                <w:sz w:val="21"/>
                <w:szCs w:val="18"/>
                <w:highlight w:val="none"/>
                <w:lang w:val="en-US" w:eastAsia="zh-CN"/>
              </w:rPr>
              <w:t>及</w:t>
            </w:r>
            <w:r>
              <w:rPr>
                <w:rFonts w:hint="default" w:ascii="Times New Roman" w:hAnsi="Times New Roman" w:eastAsia="仿宋" w:cs="Times New Roman"/>
                <w:kern w:val="0"/>
                <w:sz w:val="21"/>
                <w:szCs w:val="18"/>
                <w:highlight w:val="none"/>
                <w:lang w:eastAsia="zh-CN"/>
              </w:rPr>
              <w:t>以上成果至少3项。</w:t>
            </w:r>
          </w:p>
          <w:p w14:paraId="38467365">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p w14:paraId="7E5E06BE">
            <w:pPr>
              <w:pStyle w:val="3"/>
              <w:widowControl/>
              <w:autoSpaceDE w:val="0"/>
              <w:autoSpaceDN w:val="0"/>
              <w:adjustRightInd w:val="0"/>
              <w:snapToGrid w:val="0"/>
              <w:textAlignment w:val="baseline"/>
              <w:rPr>
                <w:rFonts w:hint="default" w:ascii="Times New Roman" w:hAnsi="Times New Roman" w:eastAsia="仿宋" w:cs="Times New Roman"/>
                <w:b/>
                <w:bCs/>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学术硕士：</w:t>
            </w:r>
          </w:p>
          <w:p w14:paraId="03ADFB0F">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第1-4类E等</w:t>
            </w:r>
            <w:r>
              <w:rPr>
                <w:rFonts w:hint="eastAsia" w:ascii="Times New Roman" w:hAnsi="Times New Roman" w:eastAsia="仿宋" w:cs="Times New Roman"/>
                <w:kern w:val="0"/>
                <w:sz w:val="21"/>
                <w:szCs w:val="18"/>
                <w:highlight w:val="none"/>
                <w:lang w:val="en-US" w:eastAsia="zh-CN"/>
              </w:rPr>
              <w:t>及</w:t>
            </w:r>
            <w:r>
              <w:rPr>
                <w:rFonts w:hint="default" w:ascii="Times New Roman" w:hAnsi="Times New Roman" w:eastAsia="仿宋" w:cs="Times New Roman"/>
                <w:kern w:val="0"/>
                <w:sz w:val="21"/>
                <w:szCs w:val="18"/>
                <w:highlight w:val="none"/>
                <w:lang w:eastAsia="zh-CN"/>
              </w:rPr>
              <w:t>以上成果至少1项。</w:t>
            </w:r>
          </w:p>
          <w:p w14:paraId="131692B6">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p w14:paraId="17A869D4">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专业硕士：</w:t>
            </w:r>
          </w:p>
          <w:p w14:paraId="1D65E27A">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完成专业硕士实践计划。</w:t>
            </w:r>
          </w:p>
        </w:tc>
      </w:tr>
      <w:tr w14:paraId="0A614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71" w:type="pct"/>
            <w:shd w:val="clear" w:color="auto" w:fill="auto"/>
            <w:vAlign w:val="center"/>
          </w:tcPr>
          <w:p w14:paraId="0260BB08">
            <w:pPr>
              <w:pStyle w:val="3"/>
              <w:widowControl/>
              <w:autoSpaceDE w:val="0"/>
              <w:autoSpaceDN w:val="0"/>
              <w:adjustRightInd w:val="0"/>
              <w:snapToGrid w:val="0"/>
              <w:textAlignment w:val="baseline"/>
              <w:rPr>
                <w:rFonts w:hint="default" w:ascii="Times New Roman" w:hAnsi="Times New Roman" w:eastAsia="仿宋" w:cs="Times New Roman"/>
                <w:b/>
                <w:bCs/>
                <w:kern w:val="0"/>
                <w:sz w:val="21"/>
                <w:szCs w:val="21"/>
                <w:highlight w:val="none"/>
                <w:lang w:eastAsia="zh-CN"/>
              </w:rPr>
            </w:pPr>
            <w:r>
              <w:rPr>
                <w:rFonts w:hint="default" w:ascii="Times New Roman" w:hAnsi="Times New Roman" w:eastAsia="仿宋" w:cs="Times New Roman"/>
                <w:b/>
                <w:bCs/>
                <w:kern w:val="0"/>
                <w:sz w:val="21"/>
                <w:szCs w:val="21"/>
                <w:highlight w:val="none"/>
                <w:lang w:eastAsia="zh-CN"/>
              </w:rPr>
              <w:t>B</w:t>
            </w:r>
          </w:p>
        </w:tc>
        <w:tc>
          <w:tcPr>
            <w:tcW w:w="470" w:type="pct"/>
            <w:shd w:val="clear" w:color="auto" w:fill="auto"/>
            <w:vAlign w:val="center"/>
          </w:tcPr>
          <w:p w14:paraId="470878CF">
            <w:pPr>
              <w:rPr>
                <w:rFonts w:hint="default" w:ascii="Times New Roman" w:hAnsi="Times New Roman" w:eastAsia="仿宋" w:cs="Times New Roman"/>
                <w:b/>
                <w:bCs/>
                <w:kern w:val="0"/>
                <w:sz w:val="20"/>
                <w:szCs w:val="21"/>
                <w:highlight w:val="none"/>
              </w:rPr>
            </w:pPr>
          </w:p>
        </w:tc>
        <w:tc>
          <w:tcPr>
            <w:tcW w:w="1440" w:type="pct"/>
            <w:shd w:val="clear" w:color="auto" w:fill="auto"/>
            <w:vAlign w:val="center"/>
          </w:tcPr>
          <w:p w14:paraId="28962CF8">
            <w:pPr>
              <w:pStyle w:val="3"/>
              <w:widowControl/>
              <w:autoSpaceDE w:val="0"/>
              <w:autoSpaceDN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1.作为主要完成人获创新创业“三大赛”国赛/“大挑”二等奖/三等奖排名第一。</w:t>
            </w:r>
          </w:p>
          <w:p w14:paraId="569E1B09">
            <w:pPr>
              <w:pStyle w:val="3"/>
              <w:widowControl/>
              <w:autoSpaceDE w:val="0"/>
              <w:autoSpaceDN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2.作为主要完成人获省级科技技术奖励（自然科学奖、技术发明奖、科学技术进步奖）（一等奖排名前五、二等奖排名前三）。</w:t>
            </w:r>
          </w:p>
          <w:p w14:paraId="490B9267">
            <w:pPr>
              <w:pStyle w:val="3"/>
              <w:widowControl/>
              <w:autoSpaceDE w:val="0"/>
              <w:autoSpaceDN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3.作为主要完成人获得省级高等学校科学研究优秀成果奖（科学技术和哲学社会科学）（一等奖排名前五、二等奖排名前三）。</w:t>
            </w:r>
          </w:p>
          <w:p w14:paraId="25C8CE20">
            <w:pPr>
              <w:pStyle w:val="3"/>
              <w:widowControl/>
              <w:autoSpaceDE w:val="0"/>
              <w:autoSpaceDN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4.主持省部级科研项目（结题验收通过）。</w:t>
            </w:r>
          </w:p>
          <w:p w14:paraId="1528E560">
            <w:pPr>
              <w:pStyle w:val="13"/>
              <w:numPr>
                <w:ilvl w:val="0"/>
                <w:numId w:val="0"/>
              </w:numPr>
              <w:spacing w:before="0"/>
              <w:rPr>
                <w:rFonts w:hint="default" w:ascii="Times New Roman" w:hAnsi="Times New Roman" w:eastAsia="仿宋" w:cs="Times New Roman"/>
                <w:sz w:val="21"/>
                <w:szCs w:val="21"/>
                <w:highlight w:val="none"/>
              </w:rPr>
            </w:pPr>
            <w:r>
              <w:rPr>
                <w:rFonts w:hint="default" w:ascii="Times New Roman" w:hAnsi="Times New Roman" w:eastAsia="仿宋" w:cs="Times New Roman"/>
                <w:kern w:val="0"/>
                <w:sz w:val="21"/>
                <w:szCs w:val="21"/>
                <w:highlight w:val="none"/>
                <w:lang w:eastAsia="zh-CN"/>
              </w:rPr>
              <w:t>5.主持教育部人文社会科学研究项目社会科学基金项目（结题验收通过）。</w:t>
            </w:r>
          </w:p>
        </w:tc>
        <w:tc>
          <w:tcPr>
            <w:tcW w:w="1232" w:type="pct"/>
            <w:shd w:val="clear" w:color="auto" w:fill="auto"/>
            <w:vAlign w:val="center"/>
          </w:tcPr>
          <w:p w14:paraId="558A51BF">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在《苏州大学人文社会科学高质量论文管理办法》中认定属于“二类论文”的。</w:t>
            </w:r>
          </w:p>
        </w:tc>
        <w:tc>
          <w:tcPr>
            <w:tcW w:w="572" w:type="pct"/>
            <w:shd w:val="clear" w:color="auto" w:fill="auto"/>
            <w:vAlign w:val="center"/>
          </w:tcPr>
          <w:p w14:paraId="2F5BA8DF">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公开出版学术著作（不少于20万字，排名第一）。</w:t>
            </w:r>
          </w:p>
        </w:tc>
        <w:tc>
          <w:tcPr>
            <w:tcW w:w="506" w:type="pct"/>
            <w:shd w:val="clear" w:color="auto" w:fill="auto"/>
            <w:vAlign w:val="center"/>
          </w:tcPr>
          <w:p w14:paraId="7E2FBA63">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《苏州大学决策咨询类成果管理办法》B类决策咨询成果。</w:t>
            </w:r>
          </w:p>
        </w:tc>
        <w:tc>
          <w:tcPr>
            <w:tcW w:w="506" w:type="pct"/>
            <w:vMerge w:val="continue"/>
            <w:shd w:val="clear" w:color="auto" w:fill="auto"/>
            <w:vAlign w:val="center"/>
          </w:tcPr>
          <w:p w14:paraId="1055DB82">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r w14:paraId="61B6C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71" w:type="pct"/>
            <w:shd w:val="clear" w:color="auto" w:fill="auto"/>
            <w:vAlign w:val="center"/>
          </w:tcPr>
          <w:p w14:paraId="50B7C625">
            <w:pPr>
              <w:pStyle w:val="3"/>
              <w:widowControl/>
              <w:autoSpaceDE w:val="0"/>
              <w:autoSpaceDN w:val="0"/>
              <w:adjustRightInd w:val="0"/>
              <w:snapToGrid w:val="0"/>
              <w:textAlignment w:val="baseline"/>
              <w:rPr>
                <w:rFonts w:hint="default" w:ascii="Times New Roman" w:hAnsi="Times New Roman" w:eastAsia="仿宋" w:cs="Times New Roman"/>
                <w:b/>
                <w:bCs/>
                <w:kern w:val="0"/>
                <w:sz w:val="21"/>
                <w:szCs w:val="21"/>
                <w:highlight w:val="none"/>
                <w:lang w:eastAsia="zh-CN"/>
              </w:rPr>
            </w:pPr>
            <w:r>
              <w:rPr>
                <w:rFonts w:hint="default" w:ascii="Times New Roman" w:hAnsi="Times New Roman" w:eastAsia="仿宋" w:cs="Times New Roman"/>
                <w:b/>
                <w:bCs/>
                <w:kern w:val="0"/>
                <w:sz w:val="21"/>
                <w:szCs w:val="21"/>
                <w:highlight w:val="none"/>
                <w:lang w:eastAsia="zh-CN"/>
              </w:rPr>
              <w:t>C</w:t>
            </w:r>
          </w:p>
        </w:tc>
        <w:tc>
          <w:tcPr>
            <w:tcW w:w="470" w:type="pct"/>
            <w:shd w:val="clear" w:color="auto" w:fill="auto"/>
            <w:vAlign w:val="center"/>
          </w:tcPr>
          <w:p w14:paraId="599FD44F">
            <w:pPr>
              <w:rPr>
                <w:rFonts w:hint="default" w:ascii="Times New Roman" w:hAnsi="Times New Roman" w:eastAsia="仿宋" w:cs="Times New Roman"/>
                <w:b/>
                <w:bCs/>
                <w:kern w:val="0"/>
                <w:sz w:val="20"/>
                <w:szCs w:val="21"/>
                <w:highlight w:val="none"/>
              </w:rPr>
            </w:pPr>
            <w:r>
              <w:rPr>
                <w:rFonts w:hint="default" w:ascii="Times New Roman" w:hAnsi="Times New Roman" w:eastAsia="仿宋" w:cs="Times New Roman"/>
                <w:szCs w:val="21"/>
                <w:highlight w:val="none"/>
              </w:rPr>
              <w:t>4A1B（博士）</w:t>
            </w:r>
          </w:p>
        </w:tc>
        <w:tc>
          <w:tcPr>
            <w:tcW w:w="1440" w:type="pct"/>
            <w:shd w:val="clear" w:color="auto" w:fill="auto"/>
            <w:vAlign w:val="center"/>
          </w:tcPr>
          <w:p w14:paraId="39B700FF">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1.作为主要完成人获市级科技技术奖励（自然科学奖、技术发明奖、科学技术进步奖）（一等奖排名前五、二等奖排名前三）。</w:t>
            </w:r>
          </w:p>
          <w:p w14:paraId="40EBE4F0">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2.主持市厅级科研项目（结题验收通过）。</w:t>
            </w:r>
          </w:p>
          <w:p w14:paraId="39E45A49">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3.主持市厅级人文社会科学研究项目社会科学基金项目（结题验收通过）。</w:t>
            </w:r>
          </w:p>
          <w:p w14:paraId="1FBD6E5C">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4.</w:t>
            </w:r>
            <w:r>
              <w:rPr>
                <w:rFonts w:hint="default" w:ascii="Times New Roman" w:hAnsi="Times New Roman" w:eastAsia="仿宋" w:cs="Times New Roman"/>
                <w:sz w:val="21"/>
                <w:szCs w:val="21"/>
                <w:highlight w:val="none"/>
                <w:lang w:val="en-US" w:eastAsia="zh-CN"/>
              </w:rPr>
              <w:t>作为主要完成人获得“三大赛”国赛金奖/“大挑”特等奖（排名前五）或银奖/“大挑”一等奖（排名前三）。</w:t>
            </w:r>
          </w:p>
        </w:tc>
        <w:tc>
          <w:tcPr>
            <w:tcW w:w="1232" w:type="pct"/>
            <w:shd w:val="clear" w:color="auto" w:fill="auto"/>
            <w:vAlign w:val="center"/>
          </w:tcPr>
          <w:p w14:paraId="32CF21A7">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1.在《苏州大学人文社会科学高质量论文管理办法》中认定属于“三类论文”的。</w:t>
            </w:r>
          </w:p>
          <w:p w14:paraId="39FF359A">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2.CSSCI扩展版</w:t>
            </w:r>
            <w:r>
              <w:rPr>
                <w:rStyle w:val="10"/>
                <w:rFonts w:hint="default" w:ascii="Times New Roman" w:hAnsi="Times New Roman" w:eastAsia="仿宋" w:cs="Times New Roman"/>
                <w:kern w:val="0"/>
                <w:highlight w:val="none"/>
                <w:lang w:eastAsia="zh-CN"/>
              </w:rPr>
              <w:t>期刊论文。</w:t>
            </w:r>
          </w:p>
          <w:p w14:paraId="55BC0A0B">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3.人文社科处《外语小语种国际期刊认定工作备忘》中认定的国际期刊。</w:t>
            </w:r>
          </w:p>
        </w:tc>
        <w:tc>
          <w:tcPr>
            <w:tcW w:w="572" w:type="pct"/>
            <w:shd w:val="clear" w:color="auto" w:fill="auto"/>
            <w:vAlign w:val="center"/>
          </w:tcPr>
          <w:p w14:paraId="3B83412F">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公开出版学术著作（不少于20万字，不限排名）。</w:t>
            </w:r>
          </w:p>
        </w:tc>
        <w:tc>
          <w:tcPr>
            <w:tcW w:w="506" w:type="pct"/>
            <w:shd w:val="clear" w:color="auto" w:fill="auto"/>
            <w:vAlign w:val="center"/>
          </w:tcPr>
          <w:p w14:paraId="1E695140">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《苏州大学决策咨询类成果管理办法》C类决策咨询成果。</w:t>
            </w:r>
          </w:p>
        </w:tc>
        <w:tc>
          <w:tcPr>
            <w:tcW w:w="506" w:type="pct"/>
            <w:vMerge w:val="continue"/>
            <w:shd w:val="clear" w:color="auto" w:fill="auto"/>
            <w:vAlign w:val="center"/>
          </w:tcPr>
          <w:p w14:paraId="7884754F">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r w14:paraId="05758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1" w:type="pct"/>
            <w:shd w:val="clear" w:color="auto" w:fill="auto"/>
            <w:vAlign w:val="center"/>
          </w:tcPr>
          <w:p w14:paraId="0DDE6B0E">
            <w:pPr>
              <w:pStyle w:val="3"/>
              <w:widowControl/>
              <w:autoSpaceDE w:val="0"/>
              <w:autoSpaceDN w:val="0"/>
              <w:adjustRightInd w:val="0"/>
              <w:snapToGrid w:val="0"/>
              <w:textAlignment w:val="baseline"/>
              <w:rPr>
                <w:rFonts w:hint="default" w:ascii="Times New Roman" w:hAnsi="Times New Roman" w:eastAsia="仿宋" w:cs="Times New Roman"/>
                <w:b/>
                <w:bCs/>
                <w:kern w:val="0"/>
                <w:sz w:val="21"/>
                <w:szCs w:val="21"/>
                <w:highlight w:val="none"/>
                <w:lang w:eastAsia="zh-CN"/>
              </w:rPr>
            </w:pPr>
            <w:r>
              <w:rPr>
                <w:rFonts w:hint="default" w:ascii="Times New Roman" w:hAnsi="Times New Roman" w:eastAsia="仿宋" w:cs="Times New Roman"/>
                <w:b/>
                <w:bCs/>
                <w:kern w:val="0"/>
                <w:sz w:val="21"/>
                <w:szCs w:val="21"/>
                <w:highlight w:val="none"/>
                <w:lang w:eastAsia="zh-CN"/>
              </w:rPr>
              <w:t>D</w:t>
            </w:r>
          </w:p>
        </w:tc>
        <w:tc>
          <w:tcPr>
            <w:tcW w:w="470" w:type="pct"/>
            <w:shd w:val="clear" w:color="auto" w:fill="auto"/>
            <w:vAlign w:val="center"/>
          </w:tcPr>
          <w:p w14:paraId="6B2DB246">
            <w:pPr>
              <w:rPr>
                <w:rFonts w:hint="default" w:ascii="Times New Roman" w:hAnsi="Times New Roman" w:eastAsia="仿宋" w:cs="Times New Roman"/>
                <w:kern w:val="0"/>
                <w:sz w:val="20"/>
                <w:szCs w:val="21"/>
                <w:highlight w:val="none"/>
              </w:rPr>
            </w:pPr>
            <w:r>
              <w:rPr>
                <w:rFonts w:hint="default" w:ascii="Times New Roman" w:hAnsi="Times New Roman" w:eastAsia="仿宋" w:cs="Times New Roman"/>
                <w:kern w:val="0"/>
                <w:sz w:val="20"/>
                <w:szCs w:val="21"/>
                <w:highlight w:val="none"/>
              </w:rPr>
              <w:t>5A（博士）</w:t>
            </w:r>
          </w:p>
        </w:tc>
        <w:tc>
          <w:tcPr>
            <w:tcW w:w="1440" w:type="pct"/>
            <w:shd w:val="clear" w:color="auto" w:fill="auto"/>
            <w:vAlign w:val="center"/>
          </w:tcPr>
          <w:p w14:paraId="26D156FD">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1.主持江苏省研究生科研与实践创新计划项目（结题验收通过）。</w:t>
            </w:r>
          </w:p>
          <w:p w14:paraId="3F3784AC">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2.《全国普通高校大学生竞赛目录》赛事全国一等奖（排名第一）；中国研究生实践创新系列大赛全国一等奖（排名第一）。</w:t>
            </w:r>
          </w:p>
          <w:p w14:paraId="4BEA5E65">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1232" w:type="pct"/>
            <w:shd w:val="clear" w:color="auto" w:fill="auto"/>
            <w:vAlign w:val="center"/>
          </w:tcPr>
          <w:p w14:paraId="0779B5AC">
            <w:pPr>
              <w:pStyle w:val="3"/>
              <w:widowControl/>
              <w:tabs>
                <w:tab w:val="right" w:pos="4325"/>
              </w:tabs>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北大中文核心期刊论文。</w:t>
            </w:r>
          </w:p>
        </w:tc>
        <w:tc>
          <w:tcPr>
            <w:tcW w:w="572" w:type="pct"/>
            <w:shd w:val="clear" w:color="auto" w:fill="auto"/>
            <w:vAlign w:val="center"/>
          </w:tcPr>
          <w:p w14:paraId="1FAB09C8">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公开出版学术著作（不少于3万字，排名第一）。</w:t>
            </w:r>
          </w:p>
        </w:tc>
        <w:tc>
          <w:tcPr>
            <w:tcW w:w="506" w:type="pct"/>
            <w:shd w:val="clear" w:color="auto" w:fill="auto"/>
            <w:vAlign w:val="center"/>
          </w:tcPr>
          <w:p w14:paraId="31966FF9">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506" w:type="pct"/>
            <w:vMerge w:val="continue"/>
            <w:shd w:val="clear" w:color="auto" w:fill="auto"/>
            <w:vAlign w:val="center"/>
          </w:tcPr>
          <w:p w14:paraId="6A17ABD8">
            <w:pPr>
              <w:pStyle w:val="3"/>
              <w:widowControl/>
              <w:autoSpaceDE w:val="0"/>
              <w:autoSpaceDN w:val="0"/>
              <w:adjustRightInd w:val="0"/>
              <w:snapToGrid w:val="0"/>
              <w:textAlignment w:val="baseline"/>
              <w:rPr>
                <w:rFonts w:hint="default" w:ascii="Times New Roman" w:hAnsi="Times New Roman" w:eastAsia="仿宋" w:cs="Times New Roman"/>
                <w:kern w:val="0"/>
                <w:highlight w:val="none"/>
                <w:lang w:eastAsia="zh-CN"/>
              </w:rPr>
            </w:pPr>
          </w:p>
        </w:tc>
      </w:tr>
      <w:tr w14:paraId="67E3D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1" w:type="pct"/>
            <w:shd w:val="clear" w:color="auto" w:fill="auto"/>
            <w:vAlign w:val="center"/>
          </w:tcPr>
          <w:p w14:paraId="390B4732">
            <w:pPr>
              <w:pStyle w:val="3"/>
              <w:widowControl/>
              <w:autoSpaceDE w:val="0"/>
              <w:autoSpaceDN w:val="0"/>
              <w:adjustRightInd w:val="0"/>
              <w:snapToGrid w:val="0"/>
              <w:textAlignment w:val="baseline"/>
              <w:rPr>
                <w:rFonts w:hint="default" w:ascii="Times New Roman" w:hAnsi="Times New Roman" w:eastAsia="仿宋" w:cs="Times New Roman"/>
                <w:b/>
                <w:bCs/>
                <w:kern w:val="0"/>
                <w:sz w:val="21"/>
                <w:szCs w:val="21"/>
                <w:highlight w:val="none"/>
                <w:lang w:eastAsia="zh-CN"/>
              </w:rPr>
            </w:pPr>
            <w:r>
              <w:rPr>
                <w:rFonts w:hint="default" w:ascii="Times New Roman" w:hAnsi="Times New Roman" w:eastAsia="仿宋" w:cs="Times New Roman"/>
                <w:b/>
                <w:bCs/>
                <w:kern w:val="0"/>
                <w:sz w:val="21"/>
                <w:szCs w:val="21"/>
                <w:highlight w:val="none"/>
                <w:lang w:eastAsia="zh-CN"/>
              </w:rPr>
              <w:t>E</w:t>
            </w:r>
          </w:p>
        </w:tc>
        <w:tc>
          <w:tcPr>
            <w:tcW w:w="470" w:type="pct"/>
            <w:shd w:val="clear" w:color="auto" w:fill="auto"/>
            <w:vAlign w:val="center"/>
          </w:tcPr>
          <w:p w14:paraId="557EEA32">
            <w:pPr>
              <w:rPr>
                <w:rFonts w:hint="default" w:ascii="Times New Roman" w:hAnsi="Times New Roman" w:eastAsia="仿宋" w:cs="Times New Roman"/>
                <w:b/>
                <w:bCs/>
                <w:kern w:val="0"/>
                <w:sz w:val="20"/>
                <w:szCs w:val="21"/>
                <w:highlight w:val="none"/>
              </w:rPr>
            </w:pPr>
          </w:p>
        </w:tc>
        <w:tc>
          <w:tcPr>
            <w:tcW w:w="1440" w:type="pct"/>
            <w:shd w:val="clear" w:color="auto" w:fill="auto"/>
            <w:vAlign w:val="center"/>
          </w:tcPr>
          <w:p w14:paraId="2F053D6D">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1232" w:type="pct"/>
            <w:shd w:val="clear" w:color="auto" w:fill="auto"/>
            <w:vAlign w:val="center"/>
          </w:tcPr>
          <w:p w14:paraId="12E52924">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1.公开出版的中文普通学术期刊论文。</w:t>
            </w:r>
          </w:p>
          <w:p w14:paraId="011E7768">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2.公开出版的外文普通学术期刊论文。</w:t>
            </w:r>
          </w:p>
          <w:p w14:paraId="58B3959A">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3.公开出版的国际或全国性学术会议论文集。论文集上发表或出版的学术论文、报告（包括调研报告、案例分析报告、实验报告等）。</w:t>
            </w:r>
          </w:p>
        </w:tc>
        <w:tc>
          <w:tcPr>
            <w:tcW w:w="572" w:type="pct"/>
            <w:shd w:val="clear" w:color="auto" w:fill="auto"/>
            <w:vAlign w:val="center"/>
          </w:tcPr>
          <w:p w14:paraId="738C4922">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公开出版学术著作（不少于3万字，排名前三）。</w:t>
            </w:r>
          </w:p>
        </w:tc>
        <w:tc>
          <w:tcPr>
            <w:tcW w:w="506" w:type="pct"/>
            <w:shd w:val="clear" w:color="auto" w:fill="auto"/>
            <w:vAlign w:val="center"/>
          </w:tcPr>
          <w:p w14:paraId="75E9F62A">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506" w:type="pct"/>
            <w:vMerge w:val="continue"/>
            <w:shd w:val="clear" w:color="auto" w:fill="auto"/>
            <w:vAlign w:val="center"/>
          </w:tcPr>
          <w:p w14:paraId="521E5A2A">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r w14:paraId="2305D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271" w:type="pct"/>
            <w:shd w:val="clear" w:color="auto" w:fill="auto"/>
            <w:vAlign w:val="center"/>
          </w:tcPr>
          <w:p w14:paraId="08FD2BA9">
            <w:pPr>
              <w:pStyle w:val="3"/>
              <w:widowControl/>
              <w:autoSpaceDE w:val="0"/>
              <w:autoSpaceDN w:val="0"/>
              <w:adjustRightInd w:val="0"/>
              <w:snapToGrid w:val="0"/>
              <w:textAlignment w:val="baseline"/>
              <w:rPr>
                <w:rFonts w:hint="default" w:ascii="Times New Roman" w:hAnsi="Times New Roman" w:eastAsia="仿宋" w:cs="Times New Roman"/>
                <w:b/>
                <w:bCs/>
                <w:kern w:val="0"/>
                <w:sz w:val="21"/>
                <w:szCs w:val="21"/>
                <w:highlight w:val="none"/>
                <w:lang w:eastAsia="zh-CN"/>
              </w:rPr>
            </w:pPr>
            <w:r>
              <w:rPr>
                <w:rFonts w:hint="default" w:ascii="Times New Roman" w:hAnsi="Times New Roman" w:eastAsia="仿宋" w:cs="Times New Roman"/>
                <w:b/>
                <w:bCs/>
                <w:kern w:val="0"/>
                <w:sz w:val="21"/>
                <w:szCs w:val="21"/>
                <w:highlight w:val="none"/>
                <w:lang w:eastAsia="zh-CN"/>
              </w:rPr>
              <w:t>说明</w:t>
            </w:r>
          </w:p>
        </w:tc>
        <w:tc>
          <w:tcPr>
            <w:tcW w:w="470" w:type="pct"/>
            <w:shd w:val="clear" w:color="auto" w:fill="auto"/>
            <w:vAlign w:val="center"/>
          </w:tcPr>
          <w:p w14:paraId="0E1AE349">
            <w:pPr>
              <w:rPr>
                <w:rFonts w:hint="default" w:ascii="Times New Roman" w:hAnsi="Times New Roman" w:eastAsia="仿宋" w:cs="Times New Roman"/>
                <w:kern w:val="0"/>
                <w:sz w:val="20"/>
                <w:szCs w:val="21"/>
                <w:highlight w:val="none"/>
              </w:rPr>
            </w:pPr>
            <w:r>
              <w:rPr>
                <w:rFonts w:hint="default" w:ascii="Times New Roman" w:hAnsi="Times New Roman" w:eastAsia="仿宋" w:cs="Times New Roman"/>
                <w:kern w:val="0"/>
                <w:sz w:val="20"/>
                <w:szCs w:val="21"/>
                <w:highlight w:val="none"/>
              </w:rPr>
              <w:t>学校统一组织的论文盲审评阅结果，仅限首次送审且未经盲审申诉。</w:t>
            </w:r>
          </w:p>
          <w:p w14:paraId="080980FB">
            <w:pPr>
              <w:rPr>
                <w:rFonts w:hint="default" w:ascii="Times New Roman" w:hAnsi="Times New Roman" w:eastAsia="仿宋" w:cs="Times New Roman"/>
                <w:kern w:val="0"/>
                <w:sz w:val="20"/>
                <w:szCs w:val="21"/>
                <w:highlight w:val="none"/>
              </w:rPr>
            </w:pPr>
          </w:p>
        </w:tc>
        <w:tc>
          <w:tcPr>
            <w:tcW w:w="1440" w:type="pct"/>
            <w:shd w:val="clear" w:color="auto" w:fill="auto"/>
            <w:vAlign w:val="center"/>
          </w:tcPr>
          <w:p w14:paraId="5D99E930">
            <w:pPr>
              <w:rPr>
                <w:rFonts w:hint="default" w:ascii="Times New Roman" w:hAnsi="Times New Roman" w:eastAsia="仿宋" w:cs="Times New Roman"/>
                <w:kern w:val="0"/>
                <w:sz w:val="20"/>
                <w:szCs w:val="21"/>
                <w:highlight w:val="none"/>
              </w:rPr>
            </w:pPr>
            <w:r>
              <w:rPr>
                <w:rFonts w:hint="default" w:ascii="Times New Roman" w:hAnsi="Times New Roman" w:eastAsia="仿宋" w:cs="Times New Roman"/>
                <w:kern w:val="0"/>
                <w:sz w:val="20"/>
                <w:szCs w:val="21"/>
                <w:highlight w:val="none"/>
              </w:rPr>
              <w:t>1.署名要求：苏州大学（英文名为Soochow University）为第一署名单位，且</w:t>
            </w:r>
            <w:r>
              <w:rPr>
                <w:rFonts w:hint="default" w:ascii="Times New Roman" w:hAnsi="Times New Roman" w:eastAsia="仿宋" w:cs="Times New Roman"/>
                <w:kern w:val="0"/>
                <w:sz w:val="20"/>
                <w:szCs w:val="21"/>
                <w:highlight w:val="none"/>
                <w:lang w:val="en-US" w:eastAsia="zh-CN"/>
              </w:rPr>
              <w:t>成果</w:t>
            </w:r>
            <w:r>
              <w:rPr>
                <w:rFonts w:hint="default" w:ascii="Times New Roman" w:hAnsi="Times New Roman" w:eastAsia="仿宋" w:cs="Times New Roman"/>
                <w:kern w:val="0"/>
                <w:sz w:val="20"/>
                <w:szCs w:val="21"/>
                <w:highlight w:val="none"/>
              </w:rPr>
              <w:t>须对应论文章节。</w:t>
            </w:r>
          </w:p>
          <w:p w14:paraId="44790CD2">
            <w:pPr>
              <w:rPr>
                <w:rFonts w:hint="default" w:ascii="Times New Roman" w:hAnsi="Times New Roman" w:eastAsia="仿宋" w:cs="Times New Roman"/>
                <w:kern w:val="0"/>
                <w:sz w:val="20"/>
                <w:szCs w:val="21"/>
                <w:highlight w:val="none"/>
              </w:rPr>
            </w:pPr>
            <w:r>
              <w:rPr>
                <w:rFonts w:hint="default" w:ascii="Times New Roman" w:hAnsi="Times New Roman" w:eastAsia="仿宋" w:cs="Times New Roman"/>
                <w:kern w:val="0"/>
                <w:sz w:val="20"/>
                <w:szCs w:val="21"/>
                <w:highlight w:val="none"/>
              </w:rPr>
              <w:t>2.《全国普通高校大学生竞赛目录》以申报当年中国高等教育学会发布为准。</w:t>
            </w:r>
          </w:p>
        </w:tc>
        <w:tc>
          <w:tcPr>
            <w:tcW w:w="1232" w:type="pct"/>
            <w:shd w:val="clear" w:color="auto" w:fill="auto"/>
            <w:vAlign w:val="center"/>
          </w:tcPr>
          <w:p w14:paraId="1E4E4702">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1.公开发表论文不含增刊、增版。同一论文属于不同级别，以论文所属的最高级别计算，不重复计算。</w:t>
            </w:r>
          </w:p>
          <w:p w14:paraId="741A6E35">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2.“SCI分区”“SSCI分区”按照《中国科学院文献情报中心期刊分区表》大类分区界定，论文类型为“Article”。外文期刊不能是中科院近三年的年度性负面清单期刊。</w:t>
            </w:r>
          </w:p>
          <w:p w14:paraId="3ACB9E93">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3.对于学科交叉的，人文社科类研究生发表SCI论文可视为发表对应档的高质量论文，SCI一区二区视同“一类”，三区四区视同“二类”。</w:t>
            </w:r>
          </w:p>
          <w:p w14:paraId="7679EC22">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4.决策咨询成果的等级按照《苏州大学决策咨询类成果管理办法》执行，且适用《苏州大学人文社会科学高质量论文管理办法》第十六条关于决策咨询转化为论文成果的规定执行。决策咨询成果需提供相关证明材料电子档及成果原件、领导肯定性批示原件（或复印件）、党政部门采纳证明或发表内参原件等证明材料。</w:t>
            </w:r>
          </w:p>
          <w:p w14:paraId="557450C0">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5.署名要求：苏州大学（英文名为Soochow University）为第一署名单位，并注明培养单位。</w:t>
            </w:r>
          </w:p>
          <w:p w14:paraId="6E572A1C">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（1）独著、第一作者或通讯作者。</w:t>
            </w:r>
          </w:p>
          <w:p w14:paraId="35826AD9">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（2）研究生与其指导教师联名（指导教师排名第一，研究生排名第二）发表的学术论文，可纳入相应的论文统计，但仅限1篇。</w:t>
            </w:r>
          </w:p>
          <w:p w14:paraId="4F6FE6A6">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6.英文学术论文要求 online（可查 DOI 编号）方可计入。中文学术论文必须是见刊或网络在线发表（接收函无效）。</w:t>
            </w:r>
          </w:p>
        </w:tc>
        <w:tc>
          <w:tcPr>
            <w:tcW w:w="572" w:type="pct"/>
            <w:shd w:val="clear" w:color="auto" w:fill="auto"/>
            <w:vAlign w:val="center"/>
          </w:tcPr>
          <w:p w14:paraId="679BC323">
            <w:pPr>
              <w:pStyle w:val="3"/>
              <w:widowControl/>
              <w:kinsoku w:val="0"/>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1.苏州大学（英文名为Soochow University）为第一署名单位，并注明培养单位</w:t>
            </w:r>
          </w:p>
          <w:p w14:paraId="386C7A39">
            <w:pPr>
              <w:pStyle w:val="3"/>
              <w:widowControl/>
              <w:kinsoku w:val="0"/>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2.同一个著作成果只能用作1次申请学位。</w:t>
            </w:r>
          </w:p>
        </w:tc>
        <w:tc>
          <w:tcPr>
            <w:tcW w:w="506" w:type="pct"/>
            <w:shd w:val="clear" w:color="auto" w:fill="auto"/>
            <w:vAlign w:val="center"/>
          </w:tcPr>
          <w:p w14:paraId="2F34E5E1">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1.苏州大学（英文名为Soochow University）为第一署名单位，并注明培养单位。</w:t>
            </w:r>
          </w:p>
          <w:p w14:paraId="37BBA459">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2.应用类成果须为排名第一，或导师排名第一学生第二。</w:t>
            </w:r>
          </w:p>
          <w:p w14:paraId="26A0C85D">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3.专利奖仅认可政府部门设立的相关奖项。</w:t>
            </w:r>
          </w:p>
        </w:tc>
        <w:tc>
          <w:tcPr>
            <w:tcW w:w="506" w:type="pct"/>
            <w:vMerge w:val="continue"/>
            <w:shd w:val="clear" w:color="auto" w:fill="auto"/>
            <w:vAlign w:val="center"/>
          </w:tcPr>
          <w:p w14:paraId="3F8568DE">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bl>
    <w:p w14:paraId="1BFA7963">
      <w:pPr>
        <w:rPr>
          <w:rFonts w:hint="eastAsia" w:ascii="楷体" w:hAnsi="楷体" w:eastAsia="楷体" w:cs="楷体"/>
          <w:b/>
          <w:bCs/>
          <w:kern w:val="0"/>
          <w:sz w:val="40"/>
          <w:szCs w:val="40"/>
          <w:lang w:bidi="ar"/>
        </w:rPr>
      </w:pPr>
      <w:r>
        <w:rPr>
          <w:rFonts w:hint="eastAsia" w:ascii="楷体" w:hAnsi="楷体" w:eastAsia="楷体" w:cs="楷体"/>
          <w:b/>
          <w:bCs/>
          <w:kern w:val="0"/>
          <w:sz w:val="40"/>
          <w:szCs w:val="40"/>
          <w:lang w:bidi="ar"/>
        </w:rPr>
        <w:br w:type="page"/>
      </w:r>
    </w:p>
    <w:p w14:paraId="3A6E1C46">
      <w:pPr>
        <w:widowControl/>
        <w:spacing w:after="156" w:afterLines="50"/>
        <w:ind w:firstLine="643" w:firstLineChars="200"/>
        <w:rPr>
          <w:rFonts w:ascii="Times New Roman" w:hAnsi="Times New Roman" w:eastAsia="仿宋" w:cs="仿宋_GB2312"/>
          <w:b/>
          <w:bCs/>
          <w:kern w:val="0"/>
          <w:sz w:val="32"/>
          <w:szCs w:val="31"/>
          <w:lang w:bidi="ar"/>
        </w:rPr>
        <w:sectPr>
          <w:pgSz w:w="16838" w:h="11906" w:orient="landscape"/>
          <w:pgMar w:top="1800" w:right="1440" w:bottom="1800" w:left="1440" w:header="851" w:footer="992" w:gutter="0"/>
          <w:cols w:space="425" w:num="1"/>
          <w:docGrid w:type="lines" w:linePitch="312" w:charSpace="0"/>
        </w:sectPr>
      </w:pPr>
    </w:p>
    <w:p w14:paraId="5498A4E7">
      <w:pPr>
        <w:widowControl/>
        <w:jc w:val="left"/>
        <w:rPr>
          <w:rFonts w:hint="eastAsia" w:ascii="仿宋" w:hAnsi="仿宋" w:eastAsia="仿宋" w:cs="仿宋"/>
          <w:b/>
          <w:bCs/>
          <w:kern w:val="0"/>
          <w:sz w:val="32"/>
          <w:szCs w:val="32"/>
          <w:lang w:bidi="ar"/>
        </w:rPr>
      </w:pPr>
      <w:r>
        <w:rPr>
          <w:rFonts w:hint="eastAsia" w:ascii="仿宋" w:hAnsi="仿宋" w:eastAsia="仿宋" w:cs="仿宋"/>
          <w:b/>
          <w:bCs/>
          <w:kern w:val="0"/>
          <w:sz w:val="32"/>
          <w:szCs w:val="32"/>
          <w:lang w:bidi="ar"/>
        </w:rPr>
        <w:t>附件1：</w:t>
      </w:r>
    </w:p>
    <w:p w14:paraId="56F2918C">
      <w:pPr>
        <w:widowControl/>
        <w:jc w:val="center"/>
        <w:rPr>
          <w:rFonts w:ascii="Times New Roman" w:hAnsi="Times New Roman" w:eastAsia="仿宋" w:cs="仿宋_GB2312"/>
          <w:b/>
          <w:bCs/>
          <w:kern w:val="0"/>
          <w:sz w:val="28"/>
          <w:szCs w:val="28"/>
          <w:lang w:bidi="ar"/>
        </w:rPr>
      </w:pPr>
      <w:r>
        <w:rPr>
          <w:rFonts w:hint="eastAsia" w:ascii="Times New Roman" w:hAnsi="Times New Roman" w:eastAsia="仿宋" w:cs="仿宋_GB2312"/>
          <w:b/>
          <w:bCs/>
          <w:kern w:val="0"/>
          <w:sz w:val="28"/>
          <w:szCs w:val="28"/>
          <w:lang w:bidi="ar"/>
        </w:rPr>
        <w:t>本学科专业领域内认可的增补期刊目录</w:t>
      </w:r>
    </w:p>
    <w:tbl>
      <w:tblPr>
        <w:tblStyle w:val="7"/>
        <w:tblW w:w="5000" w:type="pct"/>
        <w:jc w:val="center"/>
        <w:tblLayout w:type="fixed"/>
        <w:tblCellMar>
          <w:top w:w="0" w:type="dxa"/>
          <w:left w:w="108" w:type="dxa"/>
          <w:bottom w:w="0" w:type="dxa"/>
          <w:right w:w="108" w:type="dxa"/>
        </w:tblCellMar>
      </w:tblPr>
      <w:tblGrid>
        <w:gridCol w:w="1129"/>
        <w:gridCol w:w="2246"/>
        <w:gridCol w:w="1711"/>
        <w:gridCol w:w="2189"/>
        <w:gridCol w:w="1247"/>
      </w:tblGrid>
      <w:tr w14:paraId="06EB10FF">
        <w:tblPrEx>
          <w:tblCellMar>
            <w:top w:w="0" w:type="dxa"/>
            <w:left w:w="108" w:type="dxa"/>
            <w:bottom w:w="0" w:type="dxa"/>
            <w:right w:w="108" w:type="dxa"/>
          </w:tblCellMar>
        </w:tblPrEx>
        <w:trPr>
          <w:trHeight w:val="280"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6FE51">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国外期刊</w:t>
            </w:r>
          </w:p>
        </w:tc>
      </w:tr>
      <w:tr w14:paraId="3A88DF1D">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D006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序号</w:t>
            </w:r>
          </w:p>
        </w:tc>
        <w:tc>
          <w:tcPr>
            <w:tcW w:w="1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3C203">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期刊名称</w:t>
            </w:r>
          </w:p>
        </w:tc>
        <w:tc>
          <w:tcPr>
            <w:tcW w:w="10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85C6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sz w:val="24"/>
              </w:rPr>
              <w:t>中文译名</w:t>
            </w:r>
          </w:p>
        </w:tc>
        <w:tc>
          <w:tcPr>
            <w:tcW w:w="12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B9BDE">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期刊号</w:t>
            </w:r>
          </w:p>
        </w:tc>
        <w:tc>
          <w:tcPr>
            <w:tcW w:w="7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6CE7A">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对应级别</w:t>
            </w:r>
          </w:p>
        </w:tc>
      </w:tr>
      <w:tr w14:paraId="6C8F3DEA">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5C89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1</w:t>
            </w:r>
          </w:p>
        </w:tc>
        <w:tc>
          <w:tcPr>
            <w:tcW w:w="1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2E52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sz w:val="24"/>
                <w:lang w:val="fr-FR"/>
              </w:rPr>
              <w:t>Synergie Chine</w:t>
            </w:r>
          </w:p>
        </w:tc>
        <w:tc>
          <w:tcPr>
            <w:tcW w:w="10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F26BD">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sz w:val="24"/>
              </w:rPr>
              <w:t>协同中国</w:t>
            </w:r>
          </w:p>
        </w:tc>
        <w:tc>
          <w:tcPr>
            <w:tcW w:w="12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B8017">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ISSN：1776-2669</w:t>
            </w:r>
          </w:p>
        </w:tc>
        <w:tc>
          <w:tcPr>
            <w:tcW w:w="7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C8793">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sz w:val="24"/>
              </w:rPr>
              <w:t>C</w:t>
            </w:r>
          </w:p>
        </w:tc>
      </w:tr>
      <w:tr w14:paraId="5375E444">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1B4C5">
            <w:pPr>
              <w:jc w:val="center"/>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1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80A14">
            <w:pPr>
              <w:jc w:val="center"/>
              <w:rPr>
                <w:rFonts w:hint="default" w:ascii="Times New Roman" w:hAnsi="Times New Roman" w:eastAsia="仿宋" w:cs="Times New Roman"/>
                <w:sz w:val="24"/>
                <w:lang w:val="fr-FR"/>
              </w:rPr>
            </w:pPr>
            <w:r>
              <w:rPr>
                <w:rFonts w:hint="default" w:ascii="Times New Roman" w:hAnsi="Times New Roman" w:eastAsia="仿宋" w:cs="Times New Roman"/>
                <w:sz w:val="24"/>
              </w:rPr>
              <w:t>Modernités</w:t>
            </w:r>
          </w:p>
        </w:tc>
        <w:tc>
          <w:tcPr>
            <w:tcW w:w="10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835F8">
            <w:pPr>
              <w:jc w:val="center"/>
              <w:rPr>
                <w:rFonts w:hint="default" w:ascii="Times New Roman" w:hAnsi="Times New Roman" w:eastAsia="仿宋" w:cs="Times New Roman"/>
                <w:sz w:val="24"/>
              </w:rPr>
            </w:pPr>
            <w:r>
              <w:rPr>
                <w:rFonts w:hint="default" w:ascii="Times New Roman" w:hAnsi="Times New Roman" w:eastAsia="仿宋" w:cs="Times New Roman"/>
                <w:sz w:val="24"/>
              </w:rPr>
              <w:t>现代性</w:t>
            </w:r>
          </w:p>
        </w:tc>
        <w:tc>
          <w:tcPr>
            <w:tcW w:w="12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FE547">
            <w:pPr>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ISSN：978-2-86781-989-6</w:t>
            </w:r>
          </w:p>
        </w:tc>
        <w:tc>
          <w:tcPr>
            <w:tcW w:w="7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546F3">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52D89CB2">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3F2C6">
            <w:pPr>
              <w:jc w:val="center"/>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1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928B3">
            <w:pPr>
              <w:jc w:val="center"/>
              <w:rPr>
                <w:rFonts w:hint="default" w:ascii="Times New Roman" w:hAnsi="Times New Roman" w:eastAsia="仿宋" w:cs="Times New Roman"/>
                <w:sz w:val="24"/>
              </w:rPr>
            </w:pPr>
            <w:r>
              <w:rPr>
                <w:rFonts w:hint="default" w:ascii="Times New Roman" w:hAnsi="Times New Roman" w:eastAsia="仿宋" w:cs="Times New Roman"/>
                <w:bCs/>
                <w:sz w:val="22"/>
              </w:rPr>
              <w:t>Literatur</w:t>
            </w:r>
            <w:r>
              <w:rPr>
                <w:rFonts w:hint="default" w:ascii="Times New Roman" w:hAnsi="Times New Roman" w:eastAsia="仿宋" w:cs="Times New Roman"/>
                <w:bCs/>
                <w:sz w:val="22"/>
                <w:lang w:val="de-DE"/>
              </w:rPr>
              <w:t>straße</w:t>
            </w:r>
          </w:p>
        </w:tc>
        <w:tc>
          <w:tcPr>
            <w:tcW w:w="10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9B63F">
            <w:pPr>
              <w:jc w:val="center"/>
              <w:rPr>
                <w:rFonts w:hint="default" w:ascii="Times New Roman" w:hAnsi="Times New Roman" w:eastAsia="仿宋" w:cs="Times New Roman"/>
                <w:sz w:val="24"/>
              </w:rPr>
            </w:pPr>
            <w:r>
              <w:rPr>
                <w:rFonts w:hint="default" w:ascii="Times New Roman" w:hAnsi="Times New Roman" w:eastAsia="仿宋" w:cs="Times New Roman"/>
                <w:sz w:val="24"/>
              </w:rPr>
              <w:t>文学之路</w:t>
            </w:r>
          </w:p>
        </w:tc>
        <w:tc>
          <w:tcPr>
            <w:tcW w:w="12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08C33">
            <w:pPr>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ISSN：1616-4016</w:t>
            </w:r>
          </w:p>
        </w:tc>
        <w:tc>
          <w:tcPr>
            <w:tcW w:w="7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1EFDC">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7DBD9C12">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6829F">
            <w:pPr>
              <w:jc w:val="center"/>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1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BE12B">
            <w:pPr>
              <w:jc w:val="center"/>
              <w:rPr>
                <w:rFonts w:hint="default" w:ascii="Times New Roman" w:hAnsi="Times New Roman" w:eastAsia="仿宋" w:cs="Times New Roman"/>
                <w:sz w:val="24"/>
              </w:rPr>
            </w:pPr>
            <w:r>
              <w:rPr>
                <w:rFonts w:hint="default" w:ascii="Times New Roman" w:hAnsi="Times New Roman" w:eastAsia="仿宋" w:cs="Times New Roman"/>
                <w:bCs/>
                <w:sz w:val="22"/>
                <w:lang w:val="de-DE"/>
              </w:rPr>
              <w:t>Harvest-Eine Fachzeitschrift für German Studies</w:t>
            </w:r>
          </w:p>
        </w:tc>
        <w:tc>
          <w:tcPr>
            <w:tcW w:w="10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B011F">
            <w:pPr>
              <w:jc w:val="center"/>
              <w:rPr>
                <w:rFonts w:hint="default" w:ascii="Times New Roman" w:hAnsi="Times New Roman" w:eastAsia="仿宋" w:cs="Times New Roman"/>
                <w:sz w:val="24"/>
              </w:rPr>
            </w:pPr>
            <w:r>
              <w:rPr>
                <w:rFonts w:hint="default" w:ascii="Times New Roman" w:hAnsi="Times New Roman" w:eastAsia="仿宋" w:cs="Times New Roman"/>
                <w:sz w:val="24"/>
              </w:rPr>
              <w:t>收获-日耳曼学研究专刊</w:t>
            </w:r>
          </w:p>
        </w:tc>
        <w:tc>
          <w:tcPr>
            <w:tcW w:w="12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8AC90">
            <w:pPr>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ISSN：2364-9313</w:t>
            </w:r>
          </w:p>
        </w:tc>
        <w:tc>
          <w:tcPr>
            <w:tcW w:w="7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24096">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05C6E674">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D8BD5">
            <w:pPr>
              <w:jc w:val="center"/>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1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78706">
            <w:pPr>
              <w:jc w:val="center"/>
              <w:rPr>
                <w:rFonts w:hint="default" w:ascii="Times New Roman" w:hAnsi="Times New Roman" w:eastAsia="仿宋" w:cs="Times New Roman"/>
                <w:sz w:val="24"/>
              </w:rPr>
            </w:pPr>
            <w:r>
              <w:rPr>
                <w:rFonts w:hint="default" w:ascii="Times New Roman" w:hAnsi="Times New Roman" w:eastAsia="仿宋" w:cs="Times New Roman"/>
              </w:rPr>
              <w:t>한국언어문학</w:t>
            </w:r>
          </w:p>
        </w:tc>
        <w:tc>
          <w:tcPr>
            <w:tcW w:w="10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05F7D">
            <w:pPr>
              <w:jc w:val="center"/>
              <w:rPr>
                <w:rFonts w:hint="default" w:ascii="Times New Roman" w:hAnsi="Times New Roman" w:eastAsia="仿宋" w:cs="Times New Roman"/>
                <w:sz w:val="24"/>
              </w:rPr>
            </w:pPr>
            <w:r>
              <w:rPr>
                <w:rFonts w:hint="default" w:ascii="Times New Roman" w:hAnsi="Times New Roman" w:eastAsia="仿宋" w:cs="Times New Roman"/>
                <w:sz w:val="24"/>
              </w:rPr>
              <w:t>韩国语言文学</w:t>
            </w:r>
          </w:p>
        </w:tc>
        <w:tc>
          <w:tcPr>
            <w:tcW w:w="12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AE9C7">
            <w:pPr>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ISSN：1229-1730</w:t>
            </w:r>
          </w:p>
        </w:tc>
        <w:tc>
          <w:tcPr>
            <w:tcW w:w="7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E12E2">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271997E6">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485B7">
            <w:pPr>
              <w:jc w:val="center"/>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1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45AA7">
            <w:pPr>
              <w:jc w:val="center"/>
              <w:rPr>
                <w:rFonts w:hint="default" w:ascii="Times New Roman" w:hAnsi="Times New Roman" w:eastAsia="仿宋" w:cs="Times New Roman"/>
                <w:sz w:val="24"/>
              </w:rPr>
            </w:pPr>
            <w:r>
              <w:rPr>
                <w:rFonts w:hint="default" w:ascii="Times New Roman" w:hAnsi="Times New Roman" w:eastAsia="仿宋" w:cs="Times New Roman"/>
              </w:rPr>
              <w:t>어문연구</w:t>
            </w:r>
          </w:p>
        </w:tc>
        <w:tc>
          <w:tcPr>
            <w:tcW w:w="10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9FEBA">
            <w:pPr>
              <w:jc w:val="center"/>
              <w:rPr>
                <w:rFonts w:hint="default" w:ascii="Times New Roman" w:hAnsi="Times New Roman" w:eastAsia="仿宋" w:cs="Times New Roman"/>
                <w:sz w:val="24"/>
              </w:rPr>
            </w:pPr>
            <w:r>
              <w:rPr>
                <w:rFonts w:hint="default" w:ascii="Times New Roman" w:hAnsi="Times New Roman" w:eastAsia="仿宋" w:cs="Times New Roman"/>
                <w:sz w:val="24"/>
              </w:rPr>
              <w:t>语文研究</w:t>
            </w:r>
          </w:p>
        </w:tc>
        <w:tc>
          <w:tcPr>
            <w:tcW w:w="12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1B5FA">
            <w:pPr>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ISSN：1229-1617</w:t>
            </w:r>
          </w:p>
        </w:tc>
        <w:tc>
          <w:tcPr>
            <w:tcW w:w="7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A1983">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40CE501B">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355E7">
            <w:pPr>
              <w:jc w:val="center"/>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1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357F8">
            <w:pPr>
              <w:jc w:val="center"/>
              <w:rPr>
                <w:rFonts w:hint="default" w:ascii="Times New Roman" w:hAnsi="Times New Roman" w:eastAsia="仿宋" w:cs="Times New Roman"/>
                <w:sz w:val="24"/>
              </w:rPr>
            </w:pPr>
            <w:r>
              <w:rPr>
                <w:rFonts w:hint="default" w:ascii="Times New Roman" w:hAnsi="Times New Roman" w:eastAsia="仿宋" w:cs="Times New Roman"/>
                <w:bCs/>
                <w:sz w:val="24"/>
                <w:szCs w:val="28"/>
              </w:rPr>
              <w:t>Itinerarios</w:t>
            </w:r>
          </w:p>
        </w:tc>
        <w:tc>
          <w:tcPr>
            <w:tcW w:w="10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8790F">
            <w:pPr>
              <w:jc w:val="center"/>
              <w:rPr>
                <w:rFonts w:hint="default" w:ascii="Times New Roman" w:hAnsi="Times New Roman" w:eastAsia="仿宋" w:cs="Times New Roman"/>
                <w:sz w:val="24"/>
              </w:rPr>
            </w:pPr>
            <w:r>
              <w:rPr>
                <w:rFonts w:hint="default" w:ascii="Times New Roman" w:hAnsi="Times New Roman" w:eastAsia="仿宋" w:cs="Times New Roman"/>
                <w:sz w:val="24"/>
              </w:rPr>
              <w:t>研路：西葡语言文学历史及人类学研究</w:t>
            </w:r>
          </w:p>
        </w:tc>
        <w:tc>
          <w:tcPr>
            <w:tcW w:w="12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862EB">
            <w:pPr>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ISSN：1507-7241</w:t>
            </w:r>
          </w:p>
        </w:tc>
        <w:tc>
          <w:tcPr>
            <w:tcW w:w="7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075D3">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182B010B">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3358F">
            <w:pPr>
              <w:jc w:val="center"/>
              <w:rPr>
                <w:rFonts w:hint="default" w:ascii="Times New Roman" w:hAnsi="Times New Roman" w:eastAsia="仿宋" w:cs="Times New Roman"/>
                <w:sz w:val="24"/>
              </w:rPr>
            </w:pPr>
            <w:r>
              <w:rPr>
                <w:rFonts w:hint="default" w:ascii="Times New Roman" w:hAnsi="Times New Roman" w:eastAsia="仿宋" w:cs="Times New Roman"/>
                <w:sz w:val="24"/>
              </w:rPr>
              <w:t>8</w:t>
            </w:r>
          </w:p>
        </w:tc>
        <w:tc>
          <w:tcPr>
            <w:tcW w:w="1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1D947">
            <w:pPr>
              <w:jc w:val="center"/>
              <w:rPr>
                <w:rFonts w:hint="default" w:ascii="Times New Roman" w:hAnsi="Times New Roman" w:eastAsia="仿宋" w:cs="Times New Roman"/>
                <w:sz w:val="24"/>
              </w:rPr>
            </w:pPr>
            <w:r>
              <w:rPr>
                <w:rFonts w:hint="default" w:ascii="Times New Roman" w:hAnsi="Times New Roman" w:eastAsia="仿宋" w:cs="Times New Roman"/>
                <w:bCs/>
                <w:sz w:val="24"/>
                <w:szCs w:val="28"/>
              </w:rPr>
              <w:t>Interacción Sino-Iberoamericana</w:t>
            </w:r>
          </w:p>
        </w:tc>
        <w:tc>
          <w:tcPr>
            <w:tcW w:w="10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2B793">
            <w:pPr>
              <w:jc w:val="center"/>
              <w:rPr>
                <w:rFonts w:hint="default" w:ascii="Times New Roman" w:hAnsi="Times New Roman" w:eastAsia="仿宋" w:cs="Times New Roman"/>
                <w:sz w:val="24"/>
              </w:rPr>
            </w:pPr>
            <w:r>
              <w:rPr>
                <w:rFonts w:hint="default" w:ascii="Times New Roman" w:hAnsi="Times New Roman" w:eastAsia="仿宋" w:cs="Times New Roman"/>
                <w:sz w:val="24"/>
              </w:rPr>
              <w:t>中拉互鉴</w:t>
            </w:r>
          </w:p>
        </w:tc>
        <w:tc>
          <w:tcPr>
            <w:tcW w:w="12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1E4AD">
            <w:pPr>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ISSN：2747-7479</w:t>
            </w:r>
          </w:p>
        </w:tc>
        <w:tc>
          <w:tcPr>
            <w:tcW w:w="7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59719">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bl>
    <w:p w14:paraId="78BA624D">
      <w:pPr>
        <w:jc w:val="both"/>
        <w:rPr>
          <w:sz w:val="24"/>
        </w:rPr>
      </w:pPr>
    </w:p>
    <w:p w14:paraId="56515BA1">
      <w:pPr>
        <w:rPr>
          <w:lang w:val="fr-F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3"/>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3YTIzMzA2YjAxZTY1Y2RjYTdhYjQ5YjQ4YzA4MWIifQ=="/>
  </w:docVars>
  <w:rsids>
    <w:rsidRoot w:val="0096023F"/>
    <w:rsid w:val="00017545"/>
    <w:rsid w:val="000470B5"/>
    <w:rsid w:val="00076D7A"/>
    <w:rsid w:val="00084CFE"/>
    <w:rsid w:val="00133CF5"/>
    <w:rsid w:val="00314E30"/>
    <w:rsid w:val="00521162"/>
    <w:rsid w:val="007B268A"/>
    <w:rsid w:val="007C1C84"/>
    <w:rsid w:val="00942C3A"/>
    <w:rsid w:val="0096023F"/>
    <w:rsid w:val="00A21BB5"/>
    <w:rsid w:val="00A51B4D"/>
    <w:rsid w:val="00C7515E"/>
    <w:rsid w:val="00C903BB"/>
    <w:rsid w:val="00D07F73"/>
    <w:rsid w:val="00DD5D6D"/>
    <w:rsid w:val="00EC4199"/>
    <w:rsid w:val="00F26CB9"/>
    <w:rsid w:val="00F551E1"/>
    <w:rsid w:val="0B101293"/>
    <w:rsid w:val="0E661EF0"/>
    <w:rsid w:val="1039291C"/>
    <w:rsid w:val="16EB052E"/>
    <w:rsid w:val="2C8A3614"/>
    <w:rsid w:val="387B208E"/>
    <w:rsid w:val="3E3E17A2"/>
    <w:rsid w:val="4A0A33FA"/>
    <w:rsid w:val="4EB72FFF"/>
    <w:rsid w:val="50E04FEB"/>
    <w:rsid w:val="539F3101"/>
    <w:rsid w:val="63CE1E0D"/>
    <w:rsid w:val="74397A11"/>
    <w:rsid w:val="75E21B92"/>
    <w:rsid w:val="7C0777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autoRedefine/>
    <w:qFormat/>
    <w:uiPriority w:val="0"/>
    <w:pPr>
      <w:jc w:val="left"/>
    </w:pPr>
  </w:style>
  <w:style w:type="paragraph" w:styleId="3">
    <w:name w:val="Body Text"/>
    <w:basedOn w:val="1"/>
    <w:link w:val="12"/>
    <w:autoRedefine/>
    <w:qFormat/>
    <w:uiPriority w:val="0"/>
    <w:rPr>
      <w:rFonts w:ascii="仿宋_GB2312" w:hAnsi="仿宋_GB2312" w:eastAsia="仿宋_GB2312" w:cs="仿宋_GB2312"/>
      <w:sz w:val="28"/>
      <w:szCs w:val="28"/>
      <w:lang w:eastAsia="en-US"/>
    </w:rPr>
  </w:style>
  <w:style w:type="paragraph" w:styleId="4">
    <w:name w:val="Balloon Text"/>
    <w:basedOn w:val="1"/>
    <w:link w:val="16"/>
    <w:autoRedefine/>
    <w:semiHidden/>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pPr>
      <w:widowControl w:val="0"/>
      <w:jc w:val="both"/>
    </w:pPr>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批注文字 字符"/>
    <w:basedOn w:val="9"/>
    <w:link w:val="2"/>
    <w:qFormat/>
    <w:uiPriority w:val="0"/>
    <w:rPr>
      <w:rFonts w:ascii="Calibri" w:hAnsi="Calibri" w:cs="宋体"/>
      <w:szCs w:val="24"/>
    </w:rPr>
  </w:style>
  <w:style w:type="character" w:customStyle="1" w:styleId="12">
    <w:name w:val="正文文本 字符"/>
    <w:basedOn w:val="9"/>
    <w:link w:val="3"/>
    <w:qFormat/>
    <w:uiPriority w:val="0"/>
    <w:rPr>
      <w:rFonts w:ascii="仿宋_GB2312" w:hAnsi="仿宋_GB2312" w:eastAsia="仿宋_GB2312" w:cs="仿宋_GB2312"/>
      <w:sz w:val="28"/>
      <w:szCs w:val="28"/>
      <w:lang w:eastAsia="en-US"/>
    </w:rPr>
  </w:style>
  <w:style w:type="paragraph" w:styleId="13">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4">
    <w:name w:val="页眉 字符"/>
    <w:basedOn w:val="9"/>
    <w:link w:val="6"/>
    <w:qFormat/>
    <w:uiPriority w:val="99"/>
    <w:rPr>
      <w:rFonts w:ascii="Calibri" w:hAnsi="Calibri" w:cs="宋体"/>
      <w:sz w:val="18"/>
      <w:szCs w:val="18"/>
    </w:rPr>
  </w:style>
  <w:style w:type="character" w:customStyle="1" w:styleId="15">
    <w:name w:val="页脚 字符"/>
    <w:basedOn w:val="9"/>
    <w:link w:val="5"/>
    <w:autoRedefine/>
    <w:qFormat/>
    <w:uiPriority w:val="99"/>
    <w:rPr>
      <w:rFonts w:ascii="Calibri" w:hAnsi="Calibri" w:cs="宋体"/>
      <w:sz w:val="18"/>
      <w:szCs w:val="18"/>
    </w:rPr>
  </w:style>
  <w:style w:type="character" w:customStyle="1" w:styleId="16">
    <w:name w:val="批注框文本 字符"/>
    <w:basedOn w:val="9"/>
    <w:link w:val="4"/>
    <w:semiHidden/>
    <w:qFormat/>
    <w:uiPriority w:val="99"/>
    <w:rPr>
      <w:rFonts w:ascii="Calibri" w:hAnsi="Calibri" w:cs="宋体"/>
      <w:sz w:val="18"/>
      <w:szCs w:val="18"/>
    </w:rPr>
  </w:style>
  <w:style w:type="paragraph" w:customStyle="1" w:styleId="17">
    <w:name w:val="Revision"/>
    <w:hidden/>
    <w:unhideWhenUsed/>
    <w:qFormat/>
    <w:uiPriority w:val="99"/>
    <w:rPr>
      <w:rFonts w:ascii="Calibri" w:hAnsi="Calibri" w:eastAsia="宋体" w:cs="宋体"/>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2197</Words>
  <Characters>2554</Characters>
  <Lines>58</Lines>
  <Paragraphs>10</Paragraphs>
  <TotalTime>2</TotalTime>
  <ScaleCrop>false</ScaleCrop>
  <LinksUpToDate>false</LinksUpToDate>
  <CharactersWithSpaces>2568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2025-08-02T06:06:00Z</dcterms:created>
  <dc:creator>fr</dc:creator>
  <cp:lastModifiedBy>研究生院学位办</cp:lastModifiedBy>
  <cp:lastPrinted>2024-11-20T00:38:00Z</cp:lastPrinted>
  <dcterms:modified xsi:type="dcterms:W3CDTF">2025-10-09T03:03:45Z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B41BB61173D045DFAE307BECA389B360_12</vt:lpwstr>
  </property>
  <property fmtid="{D5CDD505-2E9C-101B-9397-08002B2CF9AE}" pid="4" name="KSOTemplateDocerSaveRecord">
    <vt:lpwstr>eyJoZGlkIjoiMzc2NDdmNTE0MGU5Y2NmMTAyNWNkZjcyOWMyMDVkMjQiLCJ1c2VySWQiOiIyNTAwNTUxMDIifQ==</vt:lpwstr>
  </property>
</Properties>
</file>