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C6238">
      <w:pPr>
        <w:spacing w:after="156" w:afterLines="50"/>
        <w:ind w:firstLine="320"/>
        <w:jc w:val="center"/>
        <w:rPr>
          <w:rFonts w:ascii="黑体" w:hAnsi="黑体" w:eastAsia="黑体" w:cs="黑体"/>
          <w:color w:val="auto"/>
          <w:sz w:val="22"/>
          <w:szCs w:val="28"/>
          <w:highlight w:val="none"/>
        </w:rPr>
      </w:pPr>
      <w:r>
        <w:rPr>
          <w:rFonts w:hint="eastAsia" w:ascii="黑体" w:hAnsi="黑体" w:eastAsia="黑体" w:cs="黑体"/>
          <w:kern w:val="0"/>
          <w:sz w:val="40"/>
          <w:szCs w:val="40"/>
          <w:lang w:bidi="ar"/>
        </w:rPr>
        <w:t>王健法学院研究生申请学位创新性研究成果具体标准</w:t>
      </w:r>
    </w:p>
    <w:p w14:paraId="7634E823">
      <w:pPr>
        <w:widowControl/>
        <w:spacing w:after="156" w:afterLines="50"/>
        <w:ind w:firstLine="640" w:firstLineChars="200"/>
        <w:jc w:val="left"/>
        <w:rPr>
          <w:rFonts w:ascii="Times New Roman" w:hAnsi="Times New Roman" w:eastAsia="仿宋" w:cs="仿宋_GB2312"/>
          <w:color w:val="auto"/>
          <w:kern w:val="0"/>
          <w:sz w:val="32"/>
          <w:szCs w:val="31"/>
          <w:highlight w:val="none"/>
          <w:lang w:bidi="ar"/>
        </w:rPr>
      </w:pPr>
      <w:r>
        <w:rPr>
          <w:rFonts w:ascii="Times New Roman" w:hAnsi="Times New Roman" w:eastAsia="仿宋" w:cs="仿宋_GB2312"/>
          <w:color w:val="auto"/>
          <w:kern w:val="0"/>
          <w:sz w:val="32"/>
          <w:szCs w:val="31"/>
          <w:highlight w:val="none"/>
          <w:lang w:bidi="ar"/>
        </w:rPr>
        <w:t>经</w:t>
      </w:r>
      <w:r>
        <w:rPr>
          <w:rFonts w:hint="eastAsia" w:ascii="Times New Roman" w:hAnsi="Times New Roman" w:eastAsia="仿宋" w:cs="仿宋_GB2312"/>
          <w:color w:val="auto"/>
          <w:kern w:val="0"/>
          <w:sz w:val="32"/>
          <w:szCs w:val="31"/>
          <w:highlight w:val="none"/>
          <w:lang w:bidi="ar"/>
        </w:rPr>
        <w:t>王健法学院</w:t>
      </w:r>
      <w:r>
        <w:rPr>
          <w:rFonts w:ascii="Times New Roman" w:hAnsi="Times New Roman" w:eastAsia="仿宋" w:cs="仿宋_GB2312"/>
          <w:color w:val="auto"/>
          <w:kern w:val="0"/>
          <w:sz w:val="32"/>
          <w:szCs w:val="31"/>
          <w:highlight w:val="none"/>
          <w:lang w:bidi="ar"/>
        </w:rPr>
        <w:t>学位评定分委员会讨论，对</w:t>
      </w:r>
      <w:r>
        <w:rPr>
          <w:rFonts w:hint="eastAsia" w:ascii="Times New Roman" w:hAnsi="Times New Roman" w:eastAsia="仿宋" w:cs="仿宋_GB2312"/>
          <w:color w:val="auto"/>
          <w:kern w:val="0"/>
          <w:sz w:val="32"/>
          <w:szCs w:val="31"/>
          <w:highlight w:val="none"/>
          <w:lang w:bidi="ar"/>
        </w:rPr>
        <w:t>本单位</w:t>
      </w:r>
      <w:r>
        <w:rPr>
          <w:rFonts w:ascii="Times New Roman" w:hAnsi="Times New Roman" w:eastAsia="仿宋" w:cs="仿宋_GB2312"/>
          <w:color w:val="auto"/>
          <w:kern w:val="0"/>
          <w:sz w:val="32"/>
          <w:szCs w:val="31"/>
          <w:highlight w:val="none"/>
          <w:lang w:bidi="ar"/>
        </w:rPr>
        <w:t>研究生申请学位创新</w:t>
      </w:r>
      <w:r>
        <w:rPr>
          <w:rFonts w:hint="eastAsia" w:ascii="Times New Roman" w:hAnsi="Times New Roman" w:eastAsia="仿宋" w:cs="仿宋_GB2312"/>
          <w:color w:val="auto"/>
          <w:kern w:val="0"/>
          <w:sz w:val="32"/>
          <w:szCs w:val="31"/>
          <w:highlight w:val="none"/>
          <w:lang w:bidi="ar"/>
        </w:rPr>
        <w:t>性研究</w:t>
      </w:r>
      <w:r>
        <w:rPr>
          <w:rFonts w:ascii="Times New Roman" w:hAnsi="Times New Roman" w:eastAsia="仿宋" w:cs="仿宋_GB2312"/>
          <w:color w:val="auto"/>
          <w:kern w:val="0"/>
          <w:sz w:val="32"/>
          <w:szCs w:val="31"/>
          <w:highlight w:val="none"/>
          <w:lang w:bidi="ar"/>
        </w:rPr>
        <w:t>成果提出如下要求</w:t>
      </w:r>
      <w:r>
        <w:rPr>
          <w:rFonts w:hint="eastAsia" w:ascii="Times New Roman" w:hAnsi="Times New Roman" w:eastAsia="仿宋" w:cs="仿宋_GB2312"/>
          <w:color w:val="auto"/>
          <w:kern w:val="0"/>
          <w:sz w:val="32"/>
          <w:szCs w:val="31"/>
          <w:highlight w:val="none"/>
          <w:lang w:bidi="ar"/>
        </w:rPr>
        <w:t>：（自2</w:t>
      </w:r>
      <w:r>
        <w:rPr>
          <w:rFonts w:ascii="Times New Roman" w:hAnsi="Times New Roman" w:eastAsia="仿宋" w:cs="仿宋_GB2312"/>
          <w:color w:val="auto"/>
          <w:kern w:val="0"/>
          <w:sz w:val="32"/>
          <w:szCs w:val="31"/>
          <w:highlight w:val="none"/>
          <w:lang w:bidi="ar"/>
        </w:rPr>
        <w:t>025</w:t>
      </w:r>
      <w:r>
        <w:rPr>
          <w:rFonts w:hint="eastAsia" w:ascii="Times New Roman" w:hAnsi="Times New Roman" w:eastAsia="仿宋" w:cs="仿宋_GB2312"/>
          <w:color w:val="auto"/>
          <w:kern w:val="0"/>
          <w:sz w:val="32"/>
          <w:szCs w:val="31"/>
          <w:highlight w:val="none"/>
          <w:lang w:bidi="ar"/>
        </w:rPr>
        <w:t>年9月起实施）</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42"/>
        <w:gridCol w:w="1764"/>
        <w:gridCol w:w="3554"/>
        <w:gridCol w:w="3168"/>
        <w:gridCol w:w="1835"/>
        <w:gridCol w:w="1574"/>
        <w:gridCol w:w="1337"/>
      </w:tblGrid>
      <w:tr w14:paraId="0465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32" w:type="pct"/>
            <w:shd w:val="clear" w:color="auto" w:fill="auto"/>
            <w:vAlign w:val="center"/>
          </w:tcPr>
          <w:p w14:paraId="191C620F">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类型</w:t>
            </w:r>
          </w:p>
        </w:tc>
        <w:tc>
          <w:tcPr>
            <w:tcW w:w="622" w:type="pct"/>
            <w:shd w:val="clear" w:color="auto" w:fill="auto"/>
            <w:vAlign w:val="center"/>
          </w:tcPr>
          <w:p w14:paraId="70EA868E">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第1类</w:t>
            </w:r>
          </w:p>
        </w:tc>
        <w:tc>
          <w:tcPr>
            <w:tcW w:w="1253" w:type="pct"/>
            <w:shd w:val="clear" w:color="auto" w:fill="auto"/>
            <w:vAlign w:val="center"/>
          </w:tcPr>
          <w:p w14:paraId="7038DCC2">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第2类</w:t>
            </w:r>
          </w:p>
        </w:tc>
        <w:tc>
          <w:tcPr>
            <w:tcW w:w="1117" w:type="pct"/>
            <w:shd w:val="clear" w:color="auto" w:fill="auto"/>
            <w:vAlign w:val="center"/>
          </w:tcPr>
          <w:p w14:paraId="507A0353">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第3类</w:t>
            </w:r>
          </w:p>
        </w:tc>
        <w:tc>
          <w:tcPr>
            <w:tcW w:w="647" w:type="pct"/>
            <w:shd w:val="clear" w:color="auto" w:fill="auto"/>
            <w:vAlign w:val="center"/>
          </w:tcPr>
          <w:p w14:paraId="73DE62F0">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第4类</w:t>
            </w:r>
          </w:p>
        </w:tc>
        <w:tc>
          <w:tcPr>
            <w:tcW w:w="555" w:type="pct"/>
            <w:shd w:val="clear" w:color="auto" w:fill="auto"/>
            <w:vAlign w:val="center"/>
          </w:tcPr>
          <w:p w14:paraId="35867E95">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第5类</w:t>
            </w:r>
          </w:p>
        </w:tc>
        <w:tc>
          <w:tcPr>
            <w:tcW w:w="471" w:type="pct"/>
            <w:vMerge w:val="restart"/>
            <w:shd w:val="clear" w:color="auto" w:fill="auto"/>
            <w:vAlign w:val="center"/>
          </w:tcPr>
          <w:p w14:paraId="03B2FB77">
            <w:pPr>
              <w:pStyle w:val="3"/>
              <w:widowControl/>
              <w:autoSpaceDE w:val="0"/>
              <w:autoSpaceDN w:val="0"/>
              <w:adjustRightInd w:val="0"/>
              <w:snapToGrid w:val="0"/>
              <w:textAlignment w:val="baseline"/>
              <w:rPr>
                <w:rFonts w:hint="eastAsia" w:ascii="仿宋" w:hAnsi="仿宋" w:eastAsia="仿宋" w:cs="仿宋"/>
                <w:b/>
                <w:bCs/>
                <w:color w:val="auto"/>
                <w:sz w:val="24"/>
                <w:szCs w:val="21"/>
                <w:highlight w:val="none"/>
                <w:lang w:eastAsia="zh-CN"/>
              </w:rPr>
            </w:pPr>
            <w:r>
              <w:rPr>
                <w:rFonts w:hint="eastAsia" w:ascii="仿宋" w:hAnsi="仿宋" w:eastAsia="仿宋" w:cs="仿宋"/>
                <w:b/>
                <w:bCs/>
                <w:kern w:val="0"/>
                <w:sz w:val="24"/>
                <w:szCs w:val="21"/>
                <w:lang w:val="en-US" w:eastAsia="zh-CN"/>
              </w:rPr>
              <w:t>具体标准</w:t>
            </w:r>
          </w:p>
        </w:tc>
      </w:tr>
      <w:tr w14:paraId="7515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332" w:type="pct"/>
            <w:shd w:val="clear" w:color="auto" w:fill="auto"/>
            <w:vAlign w:val="center"/>
          </w:tcPr>
          <w:p w14:paraId="4CFD8FA9">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等级</w:t>
            </w:r>
          </w:p>
        </w:tc>
        <w:tc>
          <w:tcPr>
            <w:tcW w:w="622" w:type="pct"/>
            <w:shd w:val="clear" w:color="auto" w:fill="auto"/>
            <w:vAlign w:val="center"/>
          </w:tcPr>
          <w:p w14:paraId="367D13B9">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评阅结果</w:t>
            </w:r>
          </w:p>
        </w:tc>
        <w:tc>
          <w:tcPr>
            <w:tcW w:w="1253" w:type="pct"/>
            <w:shd w:val="clear" w:color="auto" w:fill="auto"/>
            <w:vAlign w:val="center"/>
          </w:tcPr>
          <w:p w14:paraId="776A6510">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实践类成果</w:t>
            </w:r>
          </w:p>
        </w:tc>
        <w:tc>
          <w:tcPr>
            <w:tcW w:w="1117" w:type="pct"/>
            <w:shd w:val="clear" w:color="auto" w:fill="auto"/>
            <w:vAlign w:val="center"/>
          </w:tcPr>
          <w:p w14:paraId="62796B0F">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学术论文成果</w:t>
            </w:r>
          </w:p>
        </w:tc>
        <w:tc>
          <w:tcPr>
            <w:tcW w:w="647" w:type="pct"/>
            <w:shd w:val="clear" w:color="auto" w:fill="auto"/>
            <w:vAlign w:val="center"/>
          </w:tcPr>
          <w:p w14:paraId="797E0AF4">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著作成果</w:t>
            </w:r>
          </w:p>
        </w:tc>
        <w:tc>
          <w:tcPr>
            <w:tcW w:w="555" w:type="pct"/>
            <w:shd w:val="clear" w:color="auto" w:fill="auto"/>
            <w:vAlign w:val="center"/>
          </w:tcPr>
          <w:p w14:paraId="3F2E36E8">
            <w:pPr>
              <w:pStyle w:val="3"/>
              <w:widowControl/>
              <w:autoSpaceDE w:val="0"/>
              <w:autoSpaceDN w:val="0"/>
              <w:adjustRightInd w:val="0"/>
              <w:snapToGrid w:val="0"/>
              <w:jc w:val="center"/>
              <w:textAlignment w:val="baseline"/>
              <w:rPr>
                <w:rFonts w:hint="eastAsia" w:ascii="仿宋" w:hAnsi="仿宋" w:eastAsia="仿宋" w:cs="仿宋"/>
                <w:b/>
                <w:bCs/>
                <w:kern w:val="0"/>
                <w:sz w:val="24"/>
                <w:szCs w:val="21"/>
                <w:lang w:val="en-US" w:eastAsia="zh-CN"/>
              </w:rPr>
            </w:pPr>
            <w:r>
              <w:rPr>
                <w:rFonts w:hint="eastAsia" w:ascii="仿宋" w:hAnsi="仿宋" w:eastAsia="仿宋" w:cs="仿宋"/>
                <w:b/>
                <w:bCs/>
                <w:kern w:val="0"/>
                <w:sz w:val="24"/>
                <w:szCs w:val="21"/>
                <w:lang w:val="en-US" w:eastAsia="zh-CN"/>
              </w:rPr>
              <w:t>应用类成果</w:t>
            </w:r>
          </w:p>
        </w:tc>
        <w:tc>
          <w:tcPr>
            <w:tcW w:w="471" w:type="pct"/>
            <w:vMerge w:val="continue"/>
            <w:shd w:val="clear" w:color="auto" w:fill="auto"/>
            <w:vAlign w:val="center"/>
          </w:tcPr>
          <w:p w14:paraId="11B8AEC3">
            <w:pPr>
              <w:pStyle w:val="3"/>
              <w:widowControl/>
              <w:autoSpaceDE w:val="0"/>
              <w:autoSpaceDN w:val="0"/>
              <w:adjustRightInd w:val="0"/>
              <w:snapToGrid w:val="0"/>
              <w:ind w:firstLine="241"/>
              <w:textAlignment w:val="baseline"/>
              <w:rPr>
                <w:rFonts w:hint="eastAsia" w:ascii="仿宋" w:hAnsi="仿宋" w:eastAsia="仿宋" w:cs="仿宋"/>
                <w:b/>
                <w:bCs/>
                <w:color w:val="auto"/>
                <w:sz w:val="24"/>
                <w:szCs w:val="21"/>
                <w:highlight w:val="none"/>
                <w:lang w:eastAsia="zh-CN"/>
              </w:rPr>
            </w:pPr>
          </w:p>
        </w:tc>
      </w:tr>
      <w:tr w14:paraId="1450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32" w:type="pct"/>
            <w:shd w:val="clear" w:color="auto" w:fill="auto"/>
            <w:vAlign w:val="center"/>
          </w:tcPr>
          <w:p w14:paraId="482B3F94">
            <w:pPr>
              <w:pStyle w:val="3"/>
              <w:widowControl/>
              <w:autoSpaceDE w:val="0"/>
              <w:autoSpaceDN w:val="0"/>
              <w:adjustRightInd w:val="0"/>
              <w:snapToGrid w:val="0"/>
              <w:ind w:firstLine="211"/>
              <w:textAlignment w:val="baseline"/>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A</w:t>
            </w:r>
          </w:p>
        </w:tc>
        <w:tc>
          <w:tcPr>
            <w:tcW w:w="622" w:type="pct"/>
            <w:shd w:val="clear" w:color="auto" w:fill="auto"/>
            <w:vAlign w:val="center"/>
          </w:tcPr>
          <w:p w14:paraId="3E32EE8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5A（博士）</w:t>
            </w:r>
          </w:p>
        </w:tc>
        <w:tc>
          <w:tcPr>
            <w:tcW w:w="1253" w:type="pct"/>
            <w:shd w:val="clear" w:color="auto" w:fill="auto"/>
            <w:vAlign w:val="center"/>
          </w:tcPr>
          <w:p w14:paraId="7588E9E3">
            <w:pPr>
              <w:pStyle w:val="3"/>
              <w:widowControl/>
              <w:autoSpaceDE w:val="0"/>
              <w:autoSpaceDN w:val="0"/>
              <w:adjustRightInd w:val="0"/>
              <w:snapToGrid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1.作为主要完成人获创新创业“三大赛”国赛金奖/“大挑”特等奖（排名前三）；或创新创业“三大赛”国赛</w:t>
            </w:r>
            <w:r>
              <w:rPr>
                <w:rFonts w:hint="eastAsia" w:ascii="仿宋" w:hAnsi="仿宋" w:eastAsia="仿宋" w:cs="仿宋"/>
                <w:color w:val="auto"/>
                <w:sz w:val="21"/>
                <w:szCs w:val="21"/>
                <w:highlight w:val="none"/>
                <w:lang w:val="en-US" w:eastAsia="zh-CN"/>
              </w:rPr>
              <w:t>银奖</w:t>
            </w:r>
            <w:r>
              <w:rPr>
                <w:rFonts w:hint="eastAsia" w:ascii="仿宋" w:hAnsi="仿宋" w:eastAsia="仿宋" w:cs="仿宋"/>
                <w:color w:val="auto"/>
                <w:sz w:val="21"/>
                <w:szCs w:val="21"/>
                <w:highlight w:val="none"/>
                <w:lang w:eastAsia="zh-CN"/>
              </w:rPr>
              <w:t>/“大挑”一等奖（排名前二）。2.作为主要完成人获国家科技技术奖励（国家自然科学奖、国家技术发明奖、国家科学技术进步奖）（一等奖排名前五、二等奖排名前三）。</w:t>
            </w:r>
          </w:p>
          <w:p w14:paraId="79BEED5C">
            <w:pPr>
              <w:pStyle w:val="3"/>
              <w:widowControl/>
              <w:autoSpaceDE w:val="0"/>
              <w:autoSpaceDN w:val="0"/>
              <w:adjustRightInd w:val="0"/>
              <w:snapToGrid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3.教育部高等学校科学研究优秀成果奖（科学技术和哲学社会科学）（一等奖排名前五、二等奖排名前三）。</w:t>
            </w:r>
          </w:p>
          <w:p w14:paraId="7A28CB9D">
            <w:pPr>
              <w:pStyle w:val="3"/>
              <w:widowControl/>
              <w:autoSpaceDE w:val="0"/>
              <w:autoSpaceDN w:val="0"/>
              <w:adjustRightInd w:val="0"/>
              <w:snapToGrid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4.主持国家级科研项目（结题验收通过）。</w:t>
            </w:r>
          </w:p>
          <w:p w14:paraId="21B6332C">
            <w:pPr>
              <w:pStyle w:val="3"/>
              <w:widowControl/>
              <w:shd w:val="clear" w:color="auto"/>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sz w:val="21"/>
                <w:szCs w:val="21"/>
                <w:highlight w:val="none"/>
                <w:lang w:eastAsia="zh-CN"/>
              </w:rPr>
              <w:t>5.主持国家社会科学基金项目（结题验收通过）。</w:t>
            </w:r>
          </w:p>
        </w:tc>
        <w:tc>
          <w:tcPr>
            <w:tcW w:w="1117" w:type="pct"/>
            <w:shd w:val="clear" w:color="auto" w:fill="auto"/>
            <w:vAlign w:val="center"/>
          </w:tcPr>
          <w:p w14:paraId="65D5F36D">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在《苏州大学人文社会科学高质量论文管理办法》中认定属于“一类顶级论文”“一类权威论文”和“其他一类论文”。</w:t>
            </w:r>
          </w:p>
        </w:tc>
        <w:tc>
          <w:tcPr>
            <w:tcW w:w="647" w:type="pct"/>
            <w:shd w:val="clear" w:color="auto" w:fill="auto"/>
            <w:vAlign w:val="center"/>
          </w:tcPr>
          <w:p w14:paraId="5BE891A2">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在国家社科基金后期资助项目公告认定的高水平国家级出版社出版专著或合著（排名第一）。</w:t>
            </w:r>
          </w:p>
        </w:tc>
        <w:tc>
          <w:tcPr>
            <w:tcW w:w="555" w:type="pct"/>
            <w:shd w:val="clear" w:color="auto" w:fill="auto"/>
            <w:vAlign w:val="center"/>
          </w:tcPr>
          <w:p w14:paraId="0427E96B">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471" w:type="pct"/>
            <w:vMerge w:val="restart"/>
            <w:shd w:val="clear" w:color="auto" w:fill="auto"/>
            <w:vAlign w:val="center"/>
          </w:tcPr>
          <w:p w14:paraId="0A326120">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b/>
                <w:bCs/>
                <w:color w:val="auto"/>
                <w:kern w:val="0"/>
                <w:sz w:val="21"/>
                <w:szCs w:val="18"/>
                <w:highlight w:val="none"/>
                <w:lang w:eastAsia="zh-CN"/>
              </w:rPr>
              <w:t>学术博士</w:t>
            </w:r>
            <w:r>
              <w:rPr>
                <w:rFonts w:hint="eastAsia" w:ascii="仿宋" w:hAnsi="仿宋" w:eastAsia="仿宋" w:cs="仿宋"/>
                <w:b/>
                <w:bCs/>
                <w:kern w:val="0"/>
                <w:sz w:val="21"/>
                <w:szCs w:val="18"/>
                <w:highlight w:val="none"/>
                <w:lang w:eastAsia="zh-CN"/>
              </w:rPr>
              <w:t>（以下</w:t>
            </w:r>
            <w:r>
              <w:rPr>
                <w:rFonts w:hint="eastAsia" w:ascii="仿宋" w:hAnsi="仿宋" w:eastAsia="仿宋" w:cs="仿宋"/>
                <w:b/>
                <w:bCs/>
                <w:kern w:val="0"/>
                <w:sz w:val="21"/>
                <w:szCs w:val="18"/>
                <w:highlight w:val="none"/>
                <w:lang w:val="en-US" w:eastAsia="zh-CN"/>
              </w:rPr>
              <w:t>3</w:t>
            </w:r>
            <w:r>
              <w:rPr>
                <w:rFonts w:hint="eastAsia" w:ascii="仿宋" w:hAnsi="仿宋" w:eastAsia="仿宋" w:cs="仿宋"/>
                <w:b/>
                <w:bCs/>
                <w:kern w:val="0"/>
                <w:sz w:val="21"/>
                <w:szCs w:val="18"/>
                <w:highlight w:val="none"/>
                <w:lang w:eastAsia="zh-CN"/>
              </w:rPr>
              <w:t>项满足任意1项）</w:t>
            </w:r>
            <w:r>
              <w:rPr>
                <w:rFonts w:hint="eastAsia" w:ascii="仿宋" w:hAnsi="仿宋" w:eastAsia="仿宋" w:cs="仿宋"/>
                <w:b/>
                <w:bCs/>
                <w:color w:val="auto"/>
                <w:kern w:val="0"/>
                <w:sz w:val="21"/>
                <w:szCs w:val="18"/>
                <w:highlight w:val="none"/>
                <w:lang w:eastAsia="zh-CN"/>
              </w:rPr>
              <w:t>：</w:t>
            </w:r>
          </w:p>
          <w:p w14:paraId="49C4C564">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color w:val="auto"/>
                <w:kern w:val="0"/>
                <w:sz w:val="21"/>
                <w:szCs w:val="18"/>
                <w:highlight w:val="none"/>
                <w:lang w:eastAsia="zh-CN"/>
              </w:rPr>
              <w:t>1.第1-4类B等以上成果至少1项；</w:t>
            </w:r>
          </w:p>
          <w:p w14:paraId="1CD57315">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color w:val="auto"/>
                <w:kern w:val="0"/>
                <w:sz w:val="21"/>
                <w:szCs w:val="18"/>
                <w:highlight w:val="none"/>
                <w:lang w:eastAsia="zh-CN"/>
              </w:rPr>
              <w:t>2.第1-4类C等成果至少2项；</w:t>
            </w:r>
          </w:p>
          <w:p w14:paraId="43ACB9BB">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color w:val="auto"/>
                <w:kern w:val="0"/>
                <w:sz w:val="21"/>
                <w:szCs w:val="18"/>
                <w:highlight w:val="none"/>
                <w:lang w:eastAsia="zh-CN"/>
              </w:rPr>
              <w:t>3.第1-4类D等以上成果至少3项</w:t>
            </w:r>
            <w:r>
              <w:rPr>
                <w:rFonts w:hint="eastAsia" w:ascii="仿宋" w:hAnsi="仿宋" w:eastAsia="仿宋" w:cs="仿宋"/>
                <w:b/>
                <w:color w:val="auto"/>
                <w:kern w:val="0"/>
                <w:sz w:val="21"/>
                <w:szCs w:val="18"/>
                <w:highlight w:val="none"/>
                <w:lang w:eastAsia="zh-CN"/>
              </w:rPr>
              <w:t>。</w:t>
            </w:r>
          </w:p>
          <w:p w14:paraId="545E1140">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18"/>
                <w:highlight w:val="none"/>
                <w:lang w:eastAsia="zh-CN"/>
              </w:rPr>
            </w:pPr>
          </w:p>
          <w:p w14:paraId="53F2A852">
            <w:pPr>
              <w:pStyle w:val="3"/>
              <w:widowControl/>
              <w:autoSpaceDE w:val="0"/>
              <w:autoSpaceDN w:val="0"/>
              <w:adjustRightInd w:val="0"/>
              <w:snapToGrid w:val="0"/>
              <w:textAlignment w:val="baseline"/>
              <w:rPr>
                <w:rFonts w:hint="eastAsia" w:ascii="仿宋" w:hAnsi="仿宋" w:eastAsia="仿宋" w:cs="仿宋"/>
                <w:b/>
                <w:bCs/>
                <w:color w:val="auto"/>
                <w:kern w:val="0"/>
                <w:sz w:val="21"/>
                <w:szCs w:val="18"/>
                <w:highlight w:val="none"/>
                <w:lang w:eastAsia="zh-CN"/>
              </w:rPr>
            </w:pPr>
            <w:r>
              <w:rPr>
                <w:rFonts w:hint="eastAsia" w:ascii="仿宋" w:hAnsi="仿宋" w:eastAsia="仿宋" w:cs="仿宋"/>
                <w:b/>
                <w:bCs/>
                <w:color w:val="auto"/>
                <w:kern w:val="0"/>
                <w:sz w:val="21"/>
                <w:szCs w:val="18"/>
                <w:highlight w:val="none"/>
                <w:lang w:eastAsia="zh-CN"/>
              </w:rPr>
              <w:t>学术硕士：</w:t>
            </w:r>
          </w:p>
          <w:p w14:paraId="1F303C44">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color w:val="auto"/>
                <w:kern w:val="0"/>
                <w:sz w:val="21"/>
                <w:szCs w:val="18"/>
                <w:highlight w:val="none"/>
                <w:lang w:eastAsia="zh-CN"/>
              </w:rPr>
              <w:t>第1-4类E等以上成果至少1项。</w:t>
            </w:r>
          </w:p>
          <w:p w14:paraId="1884B474">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18"/>
                <w:highlight w:val="none"/>
                <w:lang w:eastAsia="zh-CN"/>
              </w:rPr>
            </w:pPr>
          </w:p>
          <w:p w14:paraId="360B7F03">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b/>
                <w:bCs/>
                <w:color w:val="auto"/>
                <w:kern w:val="0"/>
                <w:sz w:val="21"/>
                <w:szCs w:val="18"/>
                <w:highlight w:val="none"/>
                <w:lang w:eastAsia="zh-CN"/>
              </w:rPr>
              <w:t>专业硕士：</w:t>
            </w:r>
          </w:p>
          <w:p w14:paraId="72146AC2">
            <w:pPr>
              <w:pStyle w:val="3"/>
              <w:widowControl/>
              <w:autoSpaceDE w:val="0"/>
              <w:autoSpaceDN w:val="0"/>
              <w:adjustRightInd w:val="0"/>
              <w:snapToGrid w:val="0"/>
              <w:textAlignment w:val="baseline"/>
              <w:rPr>
                <w:rFonts w:hint="eastAsia" w:ascii="仿宋" w:hAnsi="仿宋" w:eastAsia="仿宋" w:cs="仿宋"/>
                <w:color w:val="auto"/>
                <w:kern w:val="0"/>
                <w:sz w:val="21"/>
                <w:szCs w:val="18"/>
                <w:highlight w:val="none"/>
                <w:lang w:eastAsia="zh-CN"/>
              </w:rPr>
            </w:pPr>
            <w:r>
              <w:rPr>
                <w:rFonts w:hint="eastAsia" w:ascii="仿宋" w:hAnsi="仿宋" w:eastAsia="仿宋" w:cs="仿宋"/>
                <w:color w:val="auto"/>
                <w:kern w:val="0"/>
                <w:sz w:val="21"/>
                <w:szCs w:val="18"/>
                <w:highlight w:val="none"/>
                <w:lang w:eastAsia="zh-CN"/>
              </w:rPr>
              <w:t>第1-5类E等以上成果至少1项。</w:t>
            </w:r>
          </w:p>
        </w:tc>
      </w:tr>
      <w:tr w14:paraId="72D5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32" w:type="pct"/>
            <w:shd w:val="clear" w:color="auto" w:fill="auto"/>
            <w:vAlign w:val="center"/>
          </w:tcPr>
          <w:p w14:paraId="6E1A9A5C">
            <w:pPr>
              <w:pStyle w:val="3"/>
              <w:widowControl/>
              <w:autoSpaceDE w:val="0"/>
              <w:autoSpaceDN w:val="0"/>
              <w:adjustRightInd w:val="0"/>
              <w:snapToGrid w:val="0"/>
              <w:ind w:firstLine="211"/>
              <w:textAlignment w:val="baseline"/>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B</w:t>
            </w:r>
          </w:p>
        </w:tc>
        <w:tc>
          <w:tcPr>
            <w:tcW w:w="622" w:type="pct"/>
            <w:shd w:val="clear" w:color="auto" w:fill="auto"/>
            <w:vAlign w:val="center"/>
          </w:tcPr>
          <w:p w14:paraId="0DA09D22">
            <w:pPr>
              <w:jc w:val="center"/>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3A（硕士）</w:t>
            </w:r>
          </w:p>
        </w:tc>
        <w:tc>
          <w:tcPr>
            <w:tcW w:w="1253" w:type="pct"/>
            <w:shd w:val="clear" w:color="auto" w:fill="auto"/>
            <w:vAlign w:val="center"/>
          </w:tcPr>
          <w:p w14:paraId="547E7F9D">
            <w:pPr>
              <w:pStyle w:val="3"/>
              <w:widowControl/>
              <w:shd w:val="clear" w:color="auto"/>
              <w:autoSpaceDE w:val="0"/>
              <w:autoSpaceDN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eastAsia" w:ascii="仿宋" w:hAnsi="仿宋" w:eastAsia="仿宋" w:cs="仿宋"/>
                <w:color w:val="auto"/>
                <w:sz w:val="21"/>
                <w:szCs w:val="21"/>
                <w:highlight w:val="none"/>
                <w:lang w:eastAsia="zh-CN"/>
              </w:rPr>
              <w:t>/“大挑”二等奖/三等奖排名第一。</w:t>
            </w:r>
          </w:p>
          <w:p w14:paraId="00FD9B9A">
            <w:pPr>
              <w:pStyle w:val="3"/>
              <w:widowControl/>
              <w:shd w:val="clear" w:color="auto"/>
              <w:autoSpaceDE w:val="0"/>
              <w:autoSpaceDN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2.作为主要完成人获省级科技技术奖励（自然科学奖、技术发明奖、科学技术进步奖）（一等奖排名前五、二等奖排名前三）。</w:t>
            </w:r>
          </w:p>
          <w:p w14:paraId="6A6A68AD">
            <w:pPr>
              <w:pStyle w:val="3"/>
              <w:widowControl/>
              <w:shd w:val="clear" w:color="auto"/>
              <w:autoSpaceDE w:val="0"/>
              <w:autoSpaceDN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3.作为主要完成人获得省级高等学校科学研究优秀成果奖（科学技术和哲学社会科学）（一等奖排名前五、二等奖排名前三）。</w:t>
            </w:r>
          </w:p>
          <w:p w14:paraId="41B9EC8D">
            <w:pPr>
              <w:pStyle w:val="3"/>
              <w:widowControl/>
              <w:shd w:val="clear" w:color="auto"/>
              <w:autoSpaceDE w:val="0"/>
              <w:autoSpaceDN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4.主持省部级科研项目（结题验收通过）。</w:t>
            </w:r>
          </w:p>
          <w:p w14:paraId="13726334">
            <w:pPr>
              <w:pStyle w:val="12"/>
              <w:numPr>
                <w:ilvl w:val="0"/>
                <w:numId w:val="0"/>
              </w:numPr>
              <w:shd w:val="clear" w:color="auto"/>
              <w:spacing w:before="0"/>
              <w:rPr>
                <w:rFonts w:hint="eastAsia" w:ascii="仿宋" w:hAnsi="仿宋" w:eastAsia="仿宋" w:cs="仿宋"/>
                <w:color w:val="auto"/>
                <w:szCs w:val="21"/>
                <w:highlight w:val="none"/>
              </w:rPr>
            </w:pPr>
            <w:r>
              <w:rPr>
                <w:rFonts w:hint="eastAsia" w:ascii="仿宋" w:hAnsi="仿宋" w:eastAsia="仿宋" w:cs="仿宋"/>
                <w:color w:val="auto"/>
                <w:sz w:val="21"/>
                <w:szCs w:val="21"/>
                <w:highlight w:val="none"/>
                <w:lang w:eastAsia="zh-CN"/>
              </w:rPr>
              <w:t>5.主持教育部人文社会科学研究项目社会科学基金项目（结题验收通过）。</w:t>
            </w:r>
          </w:p>
        </w:tc>
        <w:tc>
          <w:tcPr>
            <w:tcW w:w="1117" w:type="pct"/>
            <w:shd w:val="clear" w:color="auto" w:fill="auto"/>
            <w:vAlign w:val="center"/>
          </w:tcPr>
          <w:p w14:paraId="26547538">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在《苏州大学人文社会科学高质量论文管理办法》中认定属于“二类论文”的。</w:t>
            </w:r>
          </w:p>
          <w:p w14:paraId="1121A915">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647" w:type="pct"/>
            <w:shd w:val="clear" w:color="auto" w:fill="auto"/>
            <w:vAlign w:val="center"/>
          </w:tcPr>
          <w:p w14:paraId="536045E5">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在国家社科基金后期资助项目公告认定的高水平国家级出版社出版合著（不少于20万字，排名第二。）。</w:t>
            </w:r>
          </w:p>
        </w:tc>
        <w:tc>
          <w:tcPr>
            <w:tcW w:w="555" w:type="pct"/>
            <w:shd w:val="clear" w:color="auto" w:fill="auto"/>
            <w:vAlign w:val="center"/>
          </w:tcPr>
          <w:p w14:paraId="2F665608">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471" w:type="pct"/>
            <w:vMerge w:val="continue"/>
            <w:shd w:val="clear" w:color="auto" w:fill="auto"/>
            <w:vAlign w:val="center"/>
          </w:tcPr>
          <w:p w14:paraId="03FF43B5">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18"/>
                <w:highlight w:val="none"/>
                <w:lang w:eastAsia="zh-CN"/>
              </w:rPr>
            </w:pPr>
          </w:p>
        </w:tc>
      </w:tr>
      <w:tr w14:paraId="5FCC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32" w:type="pct"/>
            <w:shd w:val="clear" w:color="auto" w:fill="auto"/>
            <w:vAlign w:val="center"/>
          </w:tcPr>
          <w:p w14:paraId="751B5E1D">
            <w:pPr>
              <w:pStyle w:val="3"/>
              <w:widowControl/>
              <w:autoSpaceDE w:val="0"/>
              <w:autoSpaceDN w:val="0"/>
              <w:adjustRightInd w:val="0"/>
              <w:snapToGrid w:val="0"/>
              <w:ind w:firstLine="211"/>
              <w:textAlignment w:val="baseline"/>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C</w:t>
            </w:r>
          </w:p>
        </w:tc>
        <w:tc>
          <w:tcPr>
            <w:tcW w:w="622" w:type="pct"/>
            <w:shd w:val="clear" w:color="auto" w:fill="auto"/>
            <w:vAlign w:val="center"/>
          </w:tcPr>
          <w:p w14:paraId="35F67659">
            <w:pPr>
              <w:jc w:val="center"/>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4A1B（博士）</w:t>
            </w:r>
          </w:p>
        </w:tc>
        <w:tc>
          <w:tcPr>
            <w:tcW w:w="1253" w:type="pct"/>
            <w:shd w:val="clear" w:color="auto" w:fill="auto"/>
            <w:vAlign w:val="center"/>
          </w:tcPr>
          <w:p w14:paraId="4C26536A">
            <w:pPr>
              <w:pStyle w:val="3"/>
              <w:widowControl/>
              <w:shd w:val="clear" w:color="auto"/>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1.作为主要完成人获市级科技技术奖励（自然科学奖、技术发明奖、科学技术进步奖）（一等奖排名前五、二等奖排名前三）。</w:t>
            </w:r>
          </w:p>
          <w:p w14:paraId="17FD0C0A">
            <w:pPr>
              <w:pStyle w:val="3"/>
              <w:widowControl/>
              <w:shd w:val="clear" w:color="auto"/>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2.主持市厅级科研项目（结题验收通过）。</w:t>
            </w:r>
          </w:p>
          <w:p w14:paraId="4C91D806">
            <w:pPr>
              <w:pStyle w:val="3"/>
              <w:widowControl/>
              <w:shd w:val="clear" w:color="auto"/>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3.主持市厅级人文社会科学研究项目社会科学基金项目（结题验收通过）。</w:t>
            </w:r>
          </w:p>
          <w:p w14:paraId="31272463">
            <w:pPr>
              <w:pStyle w:val="3"/>
              <w:widowControl/>
              <w:shd w:val="clear" w:color="auto"/>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作为主要完成人获得“三大赛”国赛金奖/“大挑”特等奖（排名前五）或银奖/“大挑”一等奖（排名前三）。</w:t>
            </w:r>
          </w:p>
        </w:tc>
        <w:tc>
          <w:tcPr>
            <w:tcW w:w="1117" w:type="pct"/>
            <w:shd w:val="clear" w:color="auto" w:fill="auto"/>
            <w:vAlign w:val="center"/>
          </w:tcPr>
          <w:p w14:paraId="45ABB079">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1.在《苏州大学人文社会科学高质量论文管理办法》中认定属于“三类论文”的。</w:t>
            </w:r>
          </w:p>
          <w:p w14:paraId="52FBA7D3">
            <w:pPr>
              <w:pStyle w:val="3"/>
              <w:widowControl/>
              <w:shd w:val="clear" w:color="auto"/>
              <w:autoSpaceDE w:val="0"/>
              <w:autoSpaceDN w:val="0"/>
              <w:adjustRightInd w:val="0"/>
              <w:snapToGrid w:val="0"/>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w:t>
            </w:r>
            <w:r>
              <w:rPr>
                <w:rFonts w:hint="eastAsia" w:ascii="仿宋" w:hAnsi="仿宋" w:eastAsia="仿宋" w:cs="仿宋"/>
                <w:color w:val="auto"/>
                <w:kern w:val="0"/>
                <w:sz w:val="21"/>
                <w:szCs w:val="21"/>
                <w:highlight w:val="none"/>
                <w:lang w:eastAsia="zh-CN"/>
              </w:rPr>
              <w:t>CSSCI扩展版</w:t>
            </w:r>
            <w:r>
              <w:rPr>
                <w:rStyle w:val="11"/>
                <w:rFonts w:hint="eastAsia" w:ascii="仿宋" w:hAnsi="仿宋" w:eastAsia="仿宋" w:cs="仿宋"/>
                <w:color w:val="auto"/>
                <w:highlight w:val="none"/>
                <w:lang w:eastAsia="zh-CN"/>
              </w:rPr>
              <w:t>期刊论文。</w:t>
            </w:r>
          </w:p>
        </w:tc>
        <w:tc>
          <w:tcPr>
            <w:tcW w:w="647" w:type="pct"/>
            <w:shd w:val="clear" w:color="auto" w:fill="auto"/>
            <w:vAlign w:val="center"/>
          </w:tcPr>
          <w:p w14:paraId="1B622A50">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在国家社科基金后期资助项目公告认定的高水平国家级出版社出版合著（不少于20万字，排名第三）。</w:t>
            </w:r>
          </w:p>
        </w:tc>
        <w:tc>
          <w:tcPr>
            <w:tcW w:w="555" w:type="pct"/>
            <w:shd w:val="clear" w:color="auto" w:fill="auto"/>
            <w:vAlign w:val="center"/>
          </w:tcPr>
          <w:p w14:paraId="1FFDFEAE">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471" w:type="pct"/>
            <w:vMerge w:val="continue"/>
            <w:shd w:val="clear" w:color="auto" w:fill="auto"/>
            <w:vAlign w:val="center"/>
          </w:tcPr>
          <w:p w14:paraId="6E2014DA">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18"/>
                <w:highlight w:val="none"/>
                <w:lang w:eastAsia="zh-CN"/>
              </w:rPr>
            </w:pPr>
          </w:p>
        </w:tc>
      </w:tr>
      <w:tr w14:paraId="0DAB5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332" w:type="pct"/>
            <w:shd w:val="clear" w:color="auto" w:fill="auto"/>
            <w:vAlign w:val="center"/>
          </w:tcPr>
          <w:p w14:paraId="51A78938">
            <w:pPr>
              <w:pStyle w:val="3"/>
              <w:widowControl/>
              <w:autoSpaceDE w:val="0"/>
              <w:autoSpaceDN w:val="0"/>
              <w:adjustRightInd w:val="0"/>
              <w:snapToGrid w:val="0"/>
              <w:ind w:firstLine="211"/>
              <w:textAlignment w:val="baseline"/>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D</w:t>
            </w:r>
          </w:p>
        </w:tc>
        <w:tc>
          <w:tcPr>
            <w:tcW w:w="622" w:type="pct"/>
            <w:shd w:val="clear" w:color="auto" w:fill="auto"/>
            <w:vAlign w:val="center"/>
          </w:tcPr>
          <w:p w14:paraId="23480103">
            <w:pPr>
              <w:ind w:firstLine="211"/>
              <w:jc w:val="center"/>
              <w:rPr>
                <w:rFonts w:hint="eastAsia" w:ascii="仿宋" w:hAnsi="仿宋" w:eastAsia="仿宋" w:cs="仿宋"/>
                <w:b/>
                <w:bCs/>
                <w:color w:val="auto"/>
                <w:szCs w:val="21"/>
                <w:highlight w:val="none"/>
              </w:rPr>
            </w:pPr>
          </w:p>
        </w:tc>
        <w:tc>
          <w:tcPr>
            <w:tcW w:w="1253" w:type="pct"/>
            <w:shd w:val="clear" w:color="auto" w:fill="auto"/>
            <w:vAlign w:val="center"/>
          </w:tcPr>
          <w:p w14:paraId="3246CF50">
            <w:pPr>
              <w:pStyle w:val="3"/>
              <w:widowControl/>
              <w:numPr>
                <w:ilvl w:val="-1"/>
                <w:numId w:val="0"/>
              </w:numPr>
              <w:shd w:val="clear" w:color="auto"/>
              <w:autoSpaceDE w:val="0"/>
              <w:autoSpaceDN w:val="0"/>
              <w:adjustRightInd w:val="0"/>
              <w:snapToGrid w:val="0"/>
              <w:ind w:firstLine="0"/>
              <w:textAlignment w:val="baseline"/>
              <w:rPr>
                <w:rFonts w:hint="eastAsia" w:ascii="仿宋" w:hAnsi="仿宋" w:eastAsia="仿宋" w:cs="仿宋"/>
                <w:color w:val="auto"/>
                <w:kern w:val="0"/>
                <w:sz w:val="21"/>
                <w:szCs w:val="21"/>
                <w:highlight w:val="none"/>
                <w:shd w:val="clear"/>
                <w:lang w:eastAsia="zh-CN"/>
              </w:rPr>
            </w:pPr>
            <w:r>
              <w:rPr>
                <w:rFonts w:hint="eastAsia" w:ascii="仿宋" w:hAnsi="仿宋" w:eastAsia="仿宋" w:cs="仿宋"/>
                <w:color w:val="auto"/>
                <w:kern w:val="0"/>
                <w:sz w:val="21"/>
                <w:szCs w:val="21"/>
                <w:highlight w:val="none"/>
                <w:shd w:val="clear"/>
                <w:lang w:eastAsia="zh-CN"/>
              </w:rPr>
              <w:t>1.主持江苏省研究生科研与实践创新计划项目（结题验收通过）。</w:t>
            </w:r>
          </w:p>
          <w:p w14:paraId="5BDDA45E">
            <w:pPr>
              <w:pStyle w:val="3"/>
              <w:widowControl/>
              <w:numPr>
                <w:ilvl w:val="-1"/>
                <w:numId w:val="0"/>
              </w:numPr>
              <w:shd w:val="clear" w:color="auto"/>
              <w:autoSpaceDE w:val="0"/>
              <w:autoSpaceDN w:val="0"/>
              <w:adjustRightInd w:val="0"/>
              <w:snapToGrid w:val="0"/>
              <w:ind w:firstLine="0"/>
              <w:textAlignment w:val="baseline"/>
              <w:rPr>
                <w:rFonts w:hint="eastAsia" w:ascii="仿宋" w:hAnsi="仿宋" w:eastAsia="仿宋" w:cs="仿宋"/>
                <w:color w:val="auto"/>
                <w:kern w:val="0"/>
                <w:sz w:val="21"/>
                <w:szCs w:val="21"/>
                <w:highlight w:val="none"/>
                <w:shd w:val="clear"/>
                <w:lang w:eastAsia="zh-CN"/>
              </w:rPr>
            </w:pPr>
            <w:r>
              <w:rPr>
                <w:rFonts w:hint="eastAsia" w:ascii="仿宋" w:hAnsi="仿宋" w:eastAsia="仿宋" w:cs="仿宋"/>
                <w:color w:val="auto"/>
                <w:kern w:val="0"/>
                <w:sz w:val="21"/>
                <w:szCs w:val="21"/>
                <w:highlight w:val="none"/>
                <w:shd w:val="clear"/>
                <w:lang w:eastAsia="zh-CN"/>
              </w:rPr>
              <w:t>2.《全国普通高校大学生竞赛目录》赛事全国一等奖（排名第一）；中国研究生实践创新系列大赛全国一等奖（排名第一）。</w:t>
            </w:r>
          </w:p>
          <w:p w14:paraId="539A855D">
            <w:pPr>
              <w:pStyle w:val="3"/>
              <w:widowControl/>
              <w:numPr>
                <w:ilvl w:val="-1"/>
                <w:numId w:val="0"/>
              </w:numPr>
              <w:shd w:val="clear" w:color="auto"/>
              <w:autoSpaceDE w:val="0"/>
              <w:autoSpaceDN w:val="0"/>
              <w:adjustRightInd w:val="0"/>
              <w:snapToGrid w:val="0"/>
              <w:ind w:firstLine="0"/>
              <w:textAlignment w:val="baseline"/>
              <w:rPr>
                <w:rFonts w:hint="eastAsia" w:ascii="仿宋" w:hAnsi="仿宋" w:eastAsia="仿宋" w:cs="仿宋"/>
                <w:color w:val="auto"/>
                <w:sz w:val="21"/>
                <w:szCs w:val="21"/>
                <w:highlight w:val="none"/>
                <w:shd w:val="clear"/>
                <w:lang w:eastAsia="zh-CN"/>
              </w:rPr>
            </w:pPr>
          </w:p>
        </w:tc>
        <w:tc>
          <w:tcPr>
            <w:tcW w:w="1117" w:type="pct"/>
            <w:shd w:val="clear" w:color="auto" w:fill="auto"/>
            <w:vAlign w:val="center"/>
          </w:tcPr>
          <w:p w14:paraId="0C8E6B5F">
            <w:pPr>
              <w:pStyle w:val="3"/>
              <w:widowControl/>
              <w:shd w:val="clear" w:color="auto"/>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北大中文核心期刊论文。</w:t>
            </w:r>
          </w:p>
        </w:tc>
        <w:tc>
          <w:tcPr>
            <w:tcW w:w="647" w:type="pct"/>
            <w:shd w:val="clear" w:color="auto" w:fill="auto"/>
            <w:vAlign w:val="center"/>
          </w:tcPr>
          <w:p w14:paraId="4EB9E2B1">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公开出版学术著作（不少于20万字，排名前三）。</w:t>
            </w:r>
          </w:p>
        </w:tc>
        <w:tc>
          <w:tcPr>
            <w:tcW w:w="555" w:type="pct"/>
            <w:shd w:val="clear" w:color="auto" w:fill="auto"/>
            <w:vAlign w:val="center"/>
          </w:tcPr>
          <w:p w14:paraId="7DA2A3C2">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471" w:type="pct"/>
            <w:vMerge w:val="continue"/>
            <w:shd w:val="clear" w:color="auto" w:fill="auto"/>
            <w:vAlign w:val="center"/>
          </w:tcPr>
          <w:p w14:paraId="637153DE">
            <w:pPr>
              <w:pStyle w:val="3"/>
              <w:widowControl/>
              <w:autoSpaceDE w:val="0"/>
              <w:autoSpaceDN w:val="0"/>
              <w:adjustRightInd w:val="0"/>
              <w:snapToGrid w:val="0"/>
              <w:ind w:firstLine="280"/>
              <w:textAlignment w:val="baseline"/>
              <w:rPr>
                <w:rFonts w:hint="eastAsia" w:ascii="仿宋" w:hAnsi="仿宋" w:eastAsia="仿宋" w:cs="仿宋"/>
                <w:color w:val="auto"/>
                <w:highlight w:val="none"/>
                <w:lang w:eastAsia="zh-CN"/>
              </w:rPr>
            </w:pPr>
          </w:p>
        </w:tc>
      </w:tr>
      <w:tr w14:paraId="7338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32" w:type="pct"/>
            <w:shd w:val="clear" w:color="auto" w:fill="auto"/>
            <w:vAlign w:val="center"/>
          </w:tcPr>
          <w:p w14:paraId="0169FD7F">
            <w:pPr>
              <w:pStyle w:val="3"/>
              <w:widowControl/>
              <w:autoSpaceDE w:val="0"/>
              <w:autoSpaceDN w:val="0"/>
              <w:adjustRightInd w:val="0"/>
              <w:snapToGrid w:val="0"/>
              <w:ind w:firstLine="211"/>
              <w:textAlignment w:val="baseline"/>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E</w:t>
            </w:r>
          </w:p>
        </w:tc>
        <w:tc>
          <w:tcPr>
            <w:tcW w:w="622" w:type="pct"/>
            <w:shd w:val="clear" w:color="auto" w:fill="auto"/>
            <w:vAlign w:val="center"/>
          </w:tcPr>
          <w:p w14:paraId="5A2EA177">
            <w:pPr>
              <w:jc w:val="both"/>
              <w:rPr>
                <w:rFonts w:hint="eastAsia" w:ascii="仿宋" w:hAnsi="仿宋" w:eastAsia="仿宋" w:cs="仿宋"/>
                <w:b/>
                <w:bCs/>
                <w:color w:val="auto"/>
                <w:szCs w:val="21"/>
                <w:highlight w:val="none"/>
              </w:rPr>
            </w:pPr>
            <w:r>
              <w:rPr>
                <w:rFonts w:hint="eastAsia" w:ascii="仿宋" w:hAnsi="仿宋" w:eastAsia="仿宋" w:cs="仿宋"/>
                <w:b w:val="0"/>
                <w:bCs w:val="0"/>
                <w:color w:val="auto"/>
                <w:szCs w:val="21"/>
                <w:highlight w:val="none"/>
              </w:rPr>
              <w:t>2A1B（仅限专业硕士）</w:t>
            </w:r>
          </w:p>
        </w:tc>
        <w:tc>
          <w:tcPr>
            <w:tcW w:w="1253" w:type="pct"/>
            <w:shd w:val="clear" w:color="auto" w:fill="auto"/>
            <w:vAlign w:val="center"/>
          </w:tcPr>
          <w:p w14:paraId="5E916133">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1117" w:type="pct"/>
            <w:shd w:val="clear" w:color="auto" w:fill="auto"/>
            <w:vAlign w:val="center"/>
          </w:tcPr>
          <w:p w14:paraId="0A4ABE5E">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1.公开出版的中文普通学术期刊论文。</w:t>
            </w:r>
          </w:p>
          <w:p w14:paraId="7075D1A5">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2.公开出版的外文普通学术期刊论文。</w:t>
            </w:r>
          </w:p>
          <w:p w14:paraId="72F89B4D">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3.公开出版的国际或全国性学术会议论文集上发表或出版的学术论文、报告（包括调研报告、案例分析报告、实验报告等）。</w:t>
            </w:r>
          </w:p>
        </w:tc>
        <w:tc>
          <w:tcPr>
            <w:tcW w:w="647" w:type="pct"/>
            <w:shd w:val="clear" w:color="auto" w:fill="auto"/>
            <w:vAlign w:val="center"/>
          </w:tcPr>
          <w:p w14:paraId="466ADC9F">
            <w:pPr>
              <w:pStyle w:val="3"/>
              <w:widowControl/>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公开出版学术著作（不少于10万字，排名前三）。</w:t>
            </w:r>
          </w:p>
        </w:tc>
        <w:tc>
          <w:tcPr>
            <w:tcW w:w="555" w:type="pct"/>
            <w:shd w:val="clear" w:color="auto" w:fill="auto"/>
            <w:vAlign w:val="center"/>
          </w:tcPr>
          <w:p w14:paraId="4343BA9D">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在学院指定的法院、检察院、律师事务所等实习基地、研究生工作站实习六个月以上并撰写5000字以上的实习报告、案例分析报告等</w:t>
            </w:r>
          </w:p>
        </w:tc>
        <w:tc>
          <w:tcPr>
            <w:tcW w:w="471" w:type="pct"/>
            <w:vMerge w:val="continue"/>
            <w:shd w:val="clear" w:color="auto" w:fill="auto"/>
            <w:vAlign w:val="center"/>
          </w:tcPr>
          <w:p w14:paraId="185AECBC">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18"/>
                <w:highlight w:val="none"/>
                <w:lang w:eastAsia="zh-CN"/>
              </w:rPr>
            </w:pPr>
          </w:p>
        </w:tc>
      </w:tr>
      <w:tr w14:paraId="3A5A0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32" w:type="pct"/>
            <w:shd w:val="clear" w:color="auto" w:fill="auto"/>
            <w:vAlign w:val="center"/>
          </w:tcPr>
          <w:p w14:paraId="5D1EB3B7">
            <w:pPr>
              <w:pStyle w:val="3"/>
              <w:widowControl/>
              <w:autoSpaceDE w:val="0"/>
              <w:autoSpaceDN w:val="0"/>
              <w:adjustRightInd w:val="0"/>
              <w:snapToGrid w:val="0"/>
              <w:textAlignment w:val="baseline"/>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说明</w:t>
            </w:r>
          </w:p>
        </w:tc>
        <w:tc>
          <w:tcPr>
            <w:tcW w:w="622" w:type="pct"/>
            <w:shd w:val="clear" w:color="auto" w:fill="auto"/>
            <w:vAlign w:val="center"/>
          </w:tcPr>
          <w:p w14:paraId="46CA9B30">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学校统一组织的论文盲审评阅结果，仅限首次送审且未经盲审申诉。</w:t>
            </w:r>
          </w:p>
          <w:p w14:paraId="65B04A17">
            <w:pPr>
              <w:ind w:firstLine="210"/>
              <w:rPr>
                <w:rFonts w:hint="eastAsia" w:ascii="仿宋" w:hAnsi="仿宋" w:eastAsia="仿宋" w:cs="仿宋"/>
                <w:color w:val="auto"/>
                <w:kern w:val="0"/>
                <w:szCs w:val="21"/>
                <w:highlight w:val="none"/>
              </w:rPr>
            </w:pPr>
          </w:p>
        </w:tc>
        <w:tc>
          <w:tcPr>
            <w:tcW w:w="1253" w:type="pct"/>
            <w:shd w:val="clear" w:color="auto" w:fill="auto"/>
            <w:vAlign w:val="center"/>
          </w:tcPr>
          <w:p w14:paraId="164ADBF6">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１</w:t>
            </w:r>
            <w:r>
              <w:rPr>
                <w:rFonts w:hint="eastAsia" w:ascii="仿宋" w:hAnsi="仿宋" w:eastAsia="仿宋" w:cs="仿宋"/>
                <w:color w:val="auto"/>
                <w:kern w:val="0"/>
                <w:szCs w:val="21"/>
                <w:highlight w:val="none"/>
                <w:lang w:val="en-US" w:eastAsia="zh-CN"/>
              </w:rPr>
              <w:t>.</w:t>
            </w:r>
            <w:r>
              <w:rPr>
                <w:rFonts w:hint="eastAsia" w:ascii="仿宋" w:hAnsi="仿宋" w:eastAsia="仿宋" w:cs="仿宋"/>
                <w:color w:val="auto"/>
                <w:kern w:val="0"/>
                <w:szCs w:val="21"/>
                <w:highlight w:val="none"/>
              </w:rPr>
              <w:t>署名要求：苏州大学（英文名为Soochow University）为第一署名单位</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rPr>
              <w:t>且</w:t>
            </w:r>
            <w:r>
              <w:rPr>
                <w:rFonts w:hint="eastAsia" w:ascii="仿宋" w:hAnsi="仿宋" w:eastAsia="仿宋" w:cs="仿宋"/>
                <w:color w:val="auto"/>
                <w:kern w:val="0"/>
                <w:szCs w:val="21"/>
                <w:highlight w:val="none"/>
                <w:lang w:val="en-US" w:eastAsia="zh-CN"/>
              </w:rPr>
              <w:t>成果</w:t>
            </w:r>
            <w:r>
              <w:rPr>
                <w:rFonts w:hint="eastAsia" w:ascii="仿宋" w:hAnsi="仿宋" w:eastAsia="仿宋" w:cs="仿宋"/>
                <w:color w:val="auto"/>
                <w:kern w:val="0"/>
                <w:szCs w:val="21"/>
                <w:highlight w:val="none"/>
              </w:rPr>
              <w:t>须对应论文章节。</w:t>
            </w:r>
          </w:p>
          <w:p w14:paraId="50E538F1">
            <w:pPr>
              <w:rPr>
                <w:rFonts w:hint="eastAsia" w:ascii="仿宋" w:hAnsi="仿宋" w:eastAsia="仿宋" w:cs="仿宋"/>
                <w:color w:val="auto"/>
                <w:kern w:val="0"/>
                <w:szCs w:val="21"/>
                <w:highlight w:val="none"/>
              </w:rPr>
            </w:pPr>
            <w:r>
              <w:rPr>
                <w:rFonts w:hint="eastAsia" w:ascii="仿宋" w:hAnsi="仿宋" w:eastAsia="仿宋" w:cs="仿宋"/>
                <w:color w:val="auto"/>
                <w:kern w:val="0"/>
                <w:sz w:val="21"/>
                <w:szCs w:val="21"/>
                <w:highlight w:val="none"/>
                <w:lang w:eastAsia="zh-CN"/>
              </w:rPr>
              <w:t>2.</w:t>
            </w:r>
            <w:r>
              <w:rPr>
                <w:rFonts w:hint="eastAsia" w:ascii="仿宋" w:hAnsi="仿宋" w:eastAsia="仿宋" w:cs="仿宋"/>
                <w:color w:val="auto"/>
                <w:kern w:val="0"/>
                <w:szCs w:val="21"/>
                <w:highlight w:val="none"/>
              </w:rPr>
              <w:t>《全国普通高校大学生竞赛目录》以中国高等教育学会当年发布为准。</w:t>
            </w:r>
          </w:p>
        </w:tc>
        <w:tc>
          <w:tcPr>
            <w:tcW w:w="1117" w:type="pct"/>
            <w:shd w:val="clear" w:color="auto" w:fill="auto"/>
            <w:vAlign w:val="center"/>
          </w:tcPr>
          <w:p w14:paraId="04C667D2">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1.公开发表论文不含增刊、增版。同一论文属于不同级别，以论文所属的最高级别计算，不重复计算。</w:t>
            </w:r>
          </w:p>
          <w:p w14:paraId="4A8996D7">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2.“SCI分区”“SSCI分区”按照《中国科学院文献情报中心期刊分区表》大类分区界定，论文类型为“Article”。外文期刊不能是中科院近三年的年度性负面清单期刊。</w:t>
            </w:r>
          </w:p>
          <w:p w14:paraId="1B6C8EC0">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3.对于学科交叉的，人文社科类研究生发表SCI论文可视为发表对应档的高质量论文，SCI一区二区视同“一类”，三区四区视同“二类”。</w:t>
            </w:r>
          </w:p>
          <w:p w14:paraId="2EAD0AA8">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3F7E9DA2">
            <w:pPr>
              <w:pStyle w:val="3"/>
              <w:widowControl/>
              <w:shd w:val="clear" w:color="auto"/>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5.署名要求：苏州大学（英文名为Soochow University）为第一署名单位，并注明培养单位。</w:t>
            </w:r>
          </w:p>
          <w:p w14:paraId="77721814">
            <w:pPr>
              <w:pStyle w:val="3"/>
              <w:widowControl/>
              <w:shd w:val="clear" w:color="auto"/>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（1）独著、第一作者或通讯作者。</w:t>
            </w:r>
          </w:p>
          <w:p w14:paraId="6F12BB5D">
            <w:pPr>
              <w:pStyle w:val="3"/>
              <w:widowControl/>
              <w:shd w:val="clear" w:color="auto"/>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（2）研究生与其指导教师联名（指导教师排名第一，研究生排名第二）发表的学术论文，可纳入相应的论文统计，但仅限1篇。</w:t>
            </w:r>
          </w:p>
          <w:p w14:paraId="3CAAC19E">
            <w:pPr>
              <w:pStyle w:val="3"/>
              <w:widowControl/>
              <w:shd w:val="clear" w:color="auto"/>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6.英文学术论文要求 online（可查 DOI 编号）方可计入。中文学术论文必须是见刊或网络在线发表（接收函无效）。</w:t>
            </w:r>
          </w:p>
        </w:tc>
        <w:tc>
          <w:tcPr>
            <w:tcW w:w="647" w:type="pct"/>
            <w:shd w:val="clear" w:color="auto" w:fill="auto"/>
            <w:vAlign w:val="center"/>
          </w:tcPr>
          <w:p w14:paraId="7DD29459">
            <w:pPr>
              <w:pStyle w:val="3"/>
              <w:widowControl/>
              <w:kinsoku w:val="0"/>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eastAsia="zh-CN"/>
              </w:rPr>
              <w:t>1.苏州大学（英文名为Soochow University）为第一署名单位，并注明培养单位。</w:t>
            </w:r>
          </w:p>
          <w:p w14:paraId="12922541">
            <w:pPr>
              <w:pStyle w:val="3"/>
              <w:widowControl/>
              <w:kinsoku w:val="0"/>
              <w:autoSpaceDE w:val="0"/>
              <w:autoSpaceDN w:val="0"/>
              <w:adjustRightInd w:val="0"/>
              <w:snapToGrid w:val="0"/>
              <w:textAlignment w:val="baseline"/>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shd w:val="clear" w:color="auto"/>
                <w:lang w:eastAsia="zh-CN"/>
              </w:rPr>
              <w:t>2.同一著作成果只能用于一次申请学位。</w:t>
            </w:r>
          </w:p>
        </w:tc>
        <w:tc>
          <w:tcPr>
            <w:tcW w:w="555" w:type="pct"/>
            <w:shd w:val="clear" w:color="auto" w:fill="auto"/>
            <w:vAlign w:val="center"/>
          </w:tcPr>
          <w:p w14:paraId="5AB46D8C">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21"/>
                <w:highlight w:val="none"/>
                <w:lang w:eastAsia="zh-CN"/>
              </w:rPr>
            </w:pPr>
          </w:p>
        </w:tc>
        <w:tc>
          <w:tcPr>
            <w:tcW w:w="471" w:type="pct"/>
            <w:vMerge w:val="continue"/>
            <w:shd w:val="clear" w:color="auto" w:fill="auto"/>
            <w:vAlign w:val="center"/>
          </w:tcPr>
          <w:p w14:paraId="56DB690D">
            <w:pPr>
              <w:pStyle w:val="3"/>
              <w:widowControl/>
              <w:autoSpaceDE w:val="0"/>
              <w:autoSpaceDN w:val="0"/>
              <w:adjustRightInd w:val="0"/>
              <w:snapToGrid w:val="0"/>
              <w:ind w:firstLine="210"/>
              <w:textAlignment w:val="baseline"/>
              <w:rPr>
                <w:rFonts w:hint="eastAsia" w:ascii="仿宋" w:hAnsi="仿宋" w:eastAsia="仿宋" w:cs="仿宋"/>
                <w:color w:val="auto"/>
                <w:kern w:val="0"/>
                <w:sz w:val="21"/>
                <w:szCs w:val="18"/>
                <w:highlight w:val="none"/>
                <w:lang w:eastAsia="zh-CN"/>
              </w:rPr>
            </w:pPr>
          </w:p>
        </w:tc>
      </w:tr>
    </w:tbl>
    <w:p w14:paraId="3B62923E">
      <w:pPr>
        <w:rPr>
          <w:color w:val="auto"/>
          <w:sz w:val="24"/>
          <w:highlight w:val="non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0D2E32A2"/>
    <w:rsid w:val="00010B9A"/>
    <w:rsid w:val="000B62BD"/>
    <w:rsid w:val="002472BC"/>
    <w:rsid w:val="003527DA"/>
    <w:rsid w:val="0036112F"/>
    <w:rsid w:val="003B2741"/>
    <w:rsid w:val="00400C4E"/>
    <w:rsid w:val="00407905"/>
    <w:rsid w:val="004F214A"/>
    <w:rsid w:val="005307DC"/>
    <w:rsid w:val="00534528"/>
    <w:rsid w:val="00536B96"/>
    <w:rsid w:val="005400E8"/>
    <w:rsid w:val="005679E2"/>
    <w:rsid w:val="00570CCC"/>
    <w:rsid w:val="00572249"/>
    <w:rsid w:val="00573866"/>
    <w:rsid w:val="005E7F72"/>
    <w:rsid w:val="0062070D"/>
    <w:rsid w:val="0073391D"/>
    <w:rsid w:val="007C3402"/>
    <w:rsid w:val="007C349C"/>
    <w:rsid w:val="00874EC9"/>
    <w:rsid w:val="00900FEE"/>
    <w:rsid w:val="009878D5"/>
    <w:rsid w:val="00A3475F"/>
    <w:rsid w:val="00A66FA0"/>
    <w:rsid w:val="00A879D7"/>
    <w:rsid w:val="00B8221E"/>
    <w:rsid w:val="00BF0C24"/>
    <w:rsid w:val="00BF6244"/>
    <w:rsid w:val="00C32083"/>
    <w:rsid w:val="00C4272E"/>
    <w:rsid w:val="00CE7540"/>
    <w:rsid w:val="00D41AF7"/>
    <w:rsid w:val="00D73E13"/>
    <w:rsid w:val="00D91626"/>
    <w:rsid w:val="00DF57AD"/>
    <w:rsid w:val="00E40382"/>
    <w:rsid w:val="00EE0902"/>
    <w:rsid w:val="00F00D2C"/>
    <w:rsid w:val="00F1366E"/>
    <w:rsid w:val="00F50B08"/>
    <w:rsid w:val="00F5727B"/>
    <w:rsid w:val="015F00FD"/>
    <w:rsid w:val="04272D60"/>
    <w:rsid w:val="047228E3"/>
    <w:rsid w:val="048D40AB"/>
    <w:rsid w:val="04D94B9F"/>
    <w:rsid w:val="05C55124"/>
    <w:rsid w:val="06FE2F2D"/>
    <w:rsid w:val="08F64EA8"/>
    <w:rsid w:val="0952058D"/>
    <w:rsid w:val="0A522CFE"/>
    <w:rsid w:val="0A977596"/>
    <w:rsid w:val="0AEF6A4F"/>
    <w:rsid w:val="0AFE1145"/>
    <w:rsid w:val="0C8353F1"/>
    <w:rsid w:val="0D2E32A2"/>
    <w:rsid w:val="0EF9380F"/>
    <w:rsid w:val="0F8D4999"/>
    <w:rsid w:val="0FC1070A"/>
    <w:rsid w:val="106046D5"/>
    <w:rsid w:val="12280F14"/>
    <w:rsid w:val="129A1DCC"/>
    <w:rsid w:val="13B60FB1"/>
    <w:rsid w:val="1504314A"/>
    <w:rsid w:val="15350668"/>
    <w:rsid w:val="16461DDA"/>
    <w:rsid w:val="16F818C7"/>
    <w:rsid w:val="17500185"/>
    <w:rsid w:val="19410E12"/>
    <w:rsid w:val="1AB10FBD"/>
    <w:rsid w:val="1AE9320B"/>
    <w:rsid w:val="1B2E0C1E"/>
    <w:rsid w:val="1DD261D8"/>
    <w:rsid w:val="1E734235"/>
    <w:rsid w:val="1EF40D4B"/>
    <w:rsid w:val="1EF63743"/>
    <w:rsid w:val="1F2870E6"/>
    <w:rsid w:val="1F505606"/>
    <w:rsid w:val="20497FB3"/>
    <w:rsid w:val="216B67EC"/>
    <w:rsid w:val="21776B61"/>
    <w:rsid w:val="250E5F8B"/>
    <w:rsid w:val="25675EBB"/>
    <w:rsid w:val="25DC5F2B"/>
    <w:rsid w:val="2D9476C0"/>
    <w:rsid w:val="30F009F7"/>
    <w:rsid w:val="3140598E"/>
    <w:rsid w:val="31D3583D"/>
    <w:rsid w:val="324A1E6C"/>
    <w:rsid w:val="32914B52"/>
    <w:rsid w:val="33FE342B"/>
    <w:rsid w:val="3424779F"/>
    <w:rsid w:val="352A2A6E"/>
    <w:rsid w:val="35902FF5"/>
    <w:rsid w:val="35E0728C"/>
    <w:rsid w:val="35F1149A"/>
    <w:rsid w:val="36C35881"/>
    <w:rsid w:val="38064FA4"/>
    <w:rsid w:val="392A081F"/>
    <w:rsid w:val="393F565D"/>
    <w:rsid w:val="3AC42D30"/>
    <w:rsid w:val="3CE06E77"/>
    <w:rsid w:val="3F516B05"/>
    <w:rsid w:val="3F5C5188"/>
    <w:rsid w:val="3FF1670B"/>
    <w:rsid w:val="41263FC1"/>
    <w:rsid w:val="41C23CEA"/>
    <w:rsid w:val="4363536B"/>
    <w:rsid w:val="43C55745"/>
    <w:rsid w:val="44867251"/>
    <w:rsid w:val="44B85B58"/>
    <w:rsid w:val="44DE20FB"/>
    <w:rsid w:val="46F9777C"/>
    <w:rsid w:val="49AA3C03"/>
    <w:rsid w:val="4AFD13A1"/>
    <w:rsid w:val="4B2B2900"/>
    <w:rsid w:val="4D1F5594"/>
    <w:rsid w:val="4D661400"/>
    <w:rsid w:val="4DD21759"/>
    <w:rsid w:val="4EB8428E"/>
    <w:rsid w:val="4FAF1276"/>
    <w:rsid w:val="502913D8"/>
    <w:rsid w:val="52CA6EA2"/>
    <w:rsid w:val="531A6AAF"/>
    <w:rsid w:val="54384EA4"/>
    <w:rsid w:val="554747DA"/>
    <w:rsid w:val="55992B5C"/>
    <w:rsid w:val="55B77246"/>
    <w:rsid w:val="562E7748"/>
    <w:rsid w:val="56407ED2"/>
    <w:rsid w:val="570E68CF"/>
    <w:rsid w:val="5814296E"/>
    <w:rsid w:val="599B517E"/>
    <w:rsid w:val="59B61C85"/>
    <w:rsid w:val="5A7421CF"/>
    <w:rsid w:val="5AE44879"/>
    <w:rsid w:val="5E3E0D43"/>
    <w:rsid w:val="5E916AC6"/>
    <w:rsid w:val="5EDE6C3C"/>
    <w:rsid w:val="5F295B30"/>
    <w:rsid w:val="5F2B57AF"/>
    <w:rsid w:val="5F9F5213"/>
    <w:rsid w:val="62A969EB"/>
    <w:rsid w:val="647454AC"/>
    <w:rsid w:val="64C42A3C"/>
    <w:rsid w:val="655D5954"/>
    <w:rsid w:val="662003C8"/>
    <w:rsid w:val="66624779"/>
    <w:rsid w:val="667A42E4"/>
    <w:rsid w:val="68F7215F"/>
    <w:rsid w:val="69A43B52"/>
    <w:rsid w:val="6AAB1FAF"/>
    <w:rsid w:val="6B1747F7"/>
    <w:rsid w:val="6C2238DC"/>
    <w:rsid w:val="70A70F1C"/>
    <w:rsid w:val="70ED18AC"/>
    <w:rsid w:val="72A02D9E"/>
    <w:rsid w:val="74CB28DA"/>
    <w:rsid w:val="74D97AFF"/>
    <w:rsid w:val="75381A33"/>
    <w:rsid w:val="75B50DCC"/>
    <w:rsid w:val="75FB08FF"/>
    <w:rsid w:val="76C2663F"/>
    <w:rsid w:val="772E3E07"/>
    <w:rsid w:val="775B5A6C"/>
    <w:rsid w:val="77EF22E9"/>
    <w:rsid w:val="788259A6"/>
    <w:rsid w:val="789E6E90"/>
    <w:rsid w:val="78D4194A"/>
    <w:rsid w:val="79DD09BA"/>
    <w:rsid w:val="7A4647B1"/>
    <w:rsid w:val="7B170503"/>
    <w:rsid w:val="7B2E771F"/>
    <w:rsid w:val="7DC46386"/>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Balloon Text"/>
    <w:basedOn w:val="1"/>
    <w:link w:val="15"/>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autoRedefine/>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10"/>
    <w:link w:val="6"/>
    <w:autoRedefine/>
    <w:qFormat/>
    <w:uiPriority w:val="0"/>
    <w:rPr>
      <w:rFonts w:ascii="Calibri" w:hAnsi="Calibri" w:cs="宋体"/>
      <w:kern w:val="2"/>
      <w:sz w:val="18"/>
      <w:szCs w:val="18"/>
    </w:rPr>
  </w:style>
  <w:style w:type="character" w:customStyle="1" w:styleId="14">
    <w:name w:val="页脚 字符"/>
    <w:basedOn w:val="10"/>
    <w:link w:val="5"/>
    <w:qFormat/>
    <w:uiPriority w:val="0"/>
    <w:rPr>
      <w:rFonts w:ascii="Calibri" w:hAnsi="Calibri" w:cs="宋体"/>
      <w:kern w:val="2"/>
      <w:sz w:val="18"/>
      <w:szCs w:val="18"/>
    </w:rPr>
  </w:style>
  <w:style w:type="character" w:customStyle="1" w:styleId="15">
    <w:name w:val="批注框文本 字符"/>
    <w:basedOn w:val="10"/>
    <w:link w:val="4"/>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1996</Words>
  <Characters>2129</Characters>
  <Lines>19</Lines>
  <Paragraphs>5</Paragraphs>
  <TotalTime>0</TotalTime>
  <ScaleCrop>false</ScaleCrop>
  <LinksUpToDate>false</LinksUpToDate>
  <CharactersWithSpaces>2135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2025-07-05T02:24:00Z</dcterms:created>
  <dc:creator>味</dc:creator>
  <cp:lastModifiedBy>研究生院学位办</cp:lastModifiedBy>
  <cp:lastPrinted>2025-07-04T05:13:00Z</cp:lastPrinted>
  <dcterms:modified xsi:type="dcterms:W3CDTF">2025-10-29T01:09:19Z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15EB450BDC4F4F6FA6FB08FB0E45AE19_13</vt:lpwstr>
  </property>
  <property fmtid="{D5CDD505-2E9C-101B-9397-08002B2CF9AE}" pid="4" name="KSOTemplateDocerSaveRecord">
    <vt:lpwstr>eyJoZGlkIjoiMzc2NDdmNTE0MGU5Y2NmMTAyNWNkZjcyOWMyMDVkMjQiLCJ1c2VySWQiOiIyNTAwNTUxMDIifQ==</vt:lpwstr>
  </property>
</Properties>
</file>