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0CD" w:rsidRDefault="000910CD" w:rsidP="004C3EAE">
      <w:pPr>
        <w:spacing w:line="720" w:lineRule="auto"/>
        <w:jc w:val="center"/>
        <w:rPr>
          <w:rFonts w:ascii="华文中宋" w:eastAsia="华文中宋" w:hAnsi="华文中宋"/>
          <w:b/>
          <w:sz w:val="40"/>
          <w:szCs w:val="40"/>
        </w:rPr>
      </w:pPr>
    </w:p>
    <w:p w:rsidR="004C3EAE" w:rsidRDefault="004C3EAE" w:rsidP="004C3EAE">
      <w:pPr>
        <w:spacing w:line="720" w:lineRule="auto"/>
        <w:jc w:val="center"/>
        <w:rPr>
          <w:rFonts w:ascii="华文中宋" w:eastAsia="华文中宋" w:hAnsi="华文中宋"/>
          <w:b/>
          <w:sz w:val="40"/>
          <w:szCs w:val="40"/>
        </w:rPr>
      </w:pPr>
      <w:r>
        <w:rPr>
          <w:rFonts w:ascii="华文中宋" w:eastAsia="华文中宋" w:hAnsi="华文中宋" w:hint="eastAsia"/>
          <w:b/>
          <w:sz w:val="40"/>
          <w:szCs w:val="40"/>
        </w:rPr>
        <w:t>硕士学位授权</w:t>
      </w:r>
      <w:r w:rsidRPr="004C3EAE">
        <w:rPr>
          <w:rFonts w:ascii="华文中宋" w:eastAsia="华文中宋" w:hAnsi="华文中宋" w:hint="eastAsia"/>
          <w:b/>
          <w:sz w:val="40"/>
          <w:szCs w:val="40"/>
        </w:rPr>
        <w:t>点合格评估省级抽评标准</w:t>
      </w:r>
    </w:p>
    <w:p w:rsidR="007E123B" w:rsidRPr="0033088C" w:rsidRDefault="007E123B" w:rsidP="00CF3237">
      <w:pPr>
        <w:adjustRightInd w:val="0"/>
        <w:snapToGrid w:val="0"/>
        <w:spacing w:line="276" w:lineRule="auto"/>
        <w:jc w:val="center"/>
        <w:rPr>
          <w:rFonts w:ascii="华文中宋" w:eastAsia="华文中宋" w:hAnsi="华文中宋"/>
          <w:sz w:val="32"/>
          <w:szCs w:val="32"/>
        </w:rPr>
      </w:pPr>
      <w:r w:rsidRPr="0033088C">
        <w:rPr>
          <w:rFonts w:ascii="华文中宋" w:eastAsia="华文中宋" w:hAnsi="华文中宋" w:hint="eastAsia"/>
          <w:sz w:val="32"/>
          <w:szCs w:val="32"/>
        </w:rPr>
        <w:t>（</w:t>
      </w:r>
      <w:r>
        <w:rPr>
          <w:rFonts w:ascii="华文中宋" w:eastAsia="华文中宋" w:hAnsi="华文中宋" w:hint="eastAsia"/>
          <w:sz w:val="32"/>
          <w:szCs w:val="32"/>
        </w:rPr>
        <w:t>2018年12月讨论</w:t>
      </w:r>
      <w:r w:rsidRPr="0033088C">
        <w:rPr>
          <w:rFonts w:ascii="华文中宋" w:eastAsia="华文中宋" w:hAnsi="华文中宋" w:hint="eastAsia"/>
          <w:sz w:val="32"/>
          <w:szCs w:val="32"/>
        </w:rPr>
        <w:t>稿）</w:t>
      </w:r>
    </w:p>
    <w:tbl>
      <w:tblPr>
        <w:tblStyle w:val="a6"/>
        <w:tblW w:w="8505" w:type="dxa"/>
        <w:tblLook w:val="04A0"/>
      </w:tblPr>
      <w:tblGrid>
        <w:gridCol w:w="755"/>
        <w:gridCol w:w="760"/>
        <w:gridCol w:w="2137"/>
        <w:gridCol w:w="4853"/>
      </w:tblGrid>
      <w:tr w:rsidR="007E123B" w:rsidTr="00132AE6">
        <w:trPr>
          <w:trHeight w:val="624"/>
        </w:trPr>
        <w:tc>
          <w:tcPr>
            <w:tcW w:w="755" w:type="dxa"/>
            <w:vAlign w:val="center"/>
            <w:hideMark/>
          </w:tcPr>
          <w:p w:rsidR="007E123B" w:rsidRPr="00304D5E" w:rsidRDefault="007E123B" w:rsidP="00132AE6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4D5E">
              <w:rPr>
                <w:rFonts w:asciiTheme="minorEastAsia" w:hAnsiTheme="minorEastAsia" w:hint="eastAsia"/>
                <w:sz w:val="24"/>
                <w:szCs w:val="24"/>
              </w:rPr>
              <w:t>一级要素</w:t>
            </w:r>
          </w:p>
        </w:tc>
        <w:tc>
          <w:tcPr>
            <w:tcW w:w="760" w:type="dxa"/>
            <w:vAlign w:val="center"/>
            <w:hideMark/>
          </w:tcPr>
          <w:p w:rsidR="007E123B" w:rsidRPr="00304D5E" w:rsidRDefault="007E123B" w:rsidP="00132AE6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4D5E">
              <w:rPr>
                <w:rFonts w:asciiTheme="minorEastAsia" w:hAnsiTheme="minorEastAsia" w:hint="eastAsia"/>
                <w:sz w:val="24"/>
                <w:szCs w:val="24"/>
              </w:rPr>
              <w:t>二级要素</w:t>
            </w:r>
          </w:p>
        </w:tc>
        <w:tc>
          <w:tcPr>
            <w:tcW w:w="2137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</w:t>
            </w:r>
            <w:r w:rsidRPr="00304D5E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规</w:t>
            </w:r>
            <w:r w:rsidRPr="00304D5E">
              <w:rPr>
                <w:rFonts w:asciiTheme="minorEastAsia" w:hAnsiTheme="minorEastAsia" w:hint="eastAsia"/>
                <w:sz w:val="24"/>
                <w:szCs w:val="24"/>
              </w:rPr>
              <w:t>定</w:t>
            </w:r>
          </w:p>
          <w:p w:rsidR="007E123B" w:rsidRPr="00304D5E" w:rsidRDefault="007E123B" w:rsidP="00132AE6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4D5E">
              <w:rPr>
                <w:rFonts w:asciiTheme="minorEastAsia" w:hAnsiTheme="minorEastAsia" w:hint="eastAsia"/>
                <w:sz w:val="24"/>
                <w:szCs w:val="24"/>
              </w:rPr>
              <w:t>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04D5E">
              <w:rPr>
                <w:rFonts w:asciiTheme="minorEastAsia" w:hAnsiTheme="minorEastAsia" w:hint="eastAsia"/>
                <w:sz w:val="24"/>
                <w:szCs w:val="24"/>
              </w:rPr>
              <w:t>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04D5E">
              <w:rPr>
                <w:rFonts w:asciiTheme="minorEastAsia" w:hAnsiTheme="minorEastAsia" w:hint="eastAsia"/>
                <w:sz w:val="24"/>
                <w:szCs w:val="24"/>
              </w:rPr>
              <w:t>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04D5E">
              <w:rPr>
                <w:rFonts w:asciiTheme="minorEastAsia" w:hAnsiTheme="minorEastAsia" w:hint="eastAsia"/>
                <w:sz w:val="24"/>
                <w:szCs w:val="24"/>
              </w:rPr>
              <w:t>容</w:t>
            </w:r>
          </w:p>
        </w:tc>
        <w:tc>
          <w:tcPr>
            <w:tcW w:w="4853" w:type="dxa"/>
            <w:vAlign w:val="center"/>
          </w:tcPr>
          <w:p w:rsidR="007E123B" w:rsidRPr="00304D5E" w:rsidRDefault="007E123B" w:rsidP="00132AE6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江苏省</w:t>
            </w:r>
            <w:r w:rsidRPr="00304D5E">
              <w:rPr>
                <w:rFonts w:asciiTheme="minorEastAsia" w:hAnsiTheme="minorEastAsia" w:hint="eastAsia"/>
                <w:sz w:val="24"/>
                <w:szCs w:val="24"/>
              </w:rPr>
              <w:t>抽评标准</w:t>
            </w:r>
          </w:p>
        </w:tc>
      </w:tr>
      <w:tr w:rsidR="007E123B" w:rsidTr="00132AE6">
        <w:trPr>
          <w:trHeight w:val="1374"/>
        </w:trPr>
        <w:tc>
          <w:tcPr>
            <w:tcW w:w="755" w:type="dxa"/>
            <w:vMerge w:val="restart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  <w:p w:rsidR="007E123B" w:rsidRDefault="007E123B" w:rsidP="00132AE6">
            <w:pPr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目标与</w:t>
            </w:r>
          </w:p>
          <w:p w:rsidR="007E123B" w:rsidRDefault="007E123B" w:rsidP="00132AE6">
            <w:pPr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</w:t>
            </w:r>
          </w:p>
        </w:tc>
        <w:tc>
          <w:tcPr>
            <w:tcW w:w="760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1.1培养目标</w:t>
            </w:r>
          </w:p>
        </w:tc>
        <w:tc>
          <w:tcPr>
            <w:tcW w:w="2137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本学位点培养研究生的目标定位。</w:t>
            </w:r>
          </w:p>
        </w:tc>
        <w:tc>
          <w:tcPr>
            <w:tcW w:w="4853" w:type="dxa"/>
            <w:vAlign w:val="center"/>
          </w:tcPr>
          <w:p w:rsidR="007E123B" w:rsidRPr="00E62F89" w:rsidRDefault="007E123B" w:rsidP="00132AE6">
            <w:pPr>
              <w:snapToGrid w:val="0"/>
              <w:spacing w:line="276" w:lineRule="auto"/>
              <w:ind w:firstLineChars="218" w:firstLine="458"/>
              <w:rPr>
                <w:rFonts w:ascii="宋体" w:hAnsi="宋体"/>
                <w:szCs w:val="21"/>
              </w:rPr>
            </w:pPr>
            <w:r w:rsidRPr="00E62F89">
              <w:rPr>
                <w:rFonts w:ascii="宋体" w:hAnsi="宋体" w:hint="eastAsia"/>
                <w:szCs w:val="21"/>
              </w:rPr>
              <w:t>学位点研究生培养的目标定位准确，有体现培养目标、与时俱进的培养方案；重视学位点内部质量保障体系建设和外部评估项目协同，积极运用第三方评估结果改进人才培养</w:t>
            </w:r>
            <w:r w:rsidR="00E51BBC" w:rsidRPr="00E62F89">
              <w:rPr>
                <w:rFonts w:ascii="宋体" w:hAnsi="宋体" w:hint="eastAsia"/>
                <w:szCs w:val="21"/>
              </w:rPr>
              <w:t>工作水平</w:t>
            </w:r>
            <w:r w:rsidRPr="00E62F89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123B" w:rsidTr="00132AE6">
        <w:trPr>
          <w:trHeight w:val="986"/>
        </w:trPr>
        <w:tc>
          <w:tcPr>
            <w:tcW w:w="755" w:type="dxa"/>
            <w:vMerge/>
            <w:vAlign w:val="center"/>
            <w:hideMark/>
          </w:tcPr>
          <w:p w:rsidR="007E123B" w:rsidRDefault="007E123B" w:rsidP="00132AE6"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1.2学位标准</w:t>
            </w:r>
          </w:p>
        </w:tc>
        <w:tc>
          <w:tcPr>
            <w:tcW w:w="2137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本学位点授予博士、硕士学位的基本标准。</w:t>
            </w:r>
          </w:p>
        </w:tc>
        <w:tc>
          <w:tcPr>
            <w:tcW w:w="4853" w:type="dxa"/>
            <w:vAlign w:val="center"/>
          </w:tcPr>
          <w:p w:rsidR="007E123B" w:rsidRPr="00E62F89" w:rsidRDefault="007E123B" w:rsidP="00132AE6">
            <w:pPr>
              <w:snapToGrid w:val="0"/>
              <w:spacing w:line="276" w:lineRule="auto"/>
              <w:ind w:firstLineChars="218" w:firstLine="458"/>
              <w:rPr>
                <w:rFonts w:ascii="宋体" w:hAnsi="宋体"/>
                <w:szCs w:val="21"/>
              </w:rPr>
            </w:pPr>
            <w:r w:rsidRPr="00E62F89">
              <w:rPr>
                <w:rFonts w:ascii="宋体" w:hAnsi="宋体" w:hint="eastAsia"/>
                <w:szCs w:val="21"/>
              </w:rPr>
              <w:t>全面落实国家“学位基本要求”，学位授予基本标准规范、具体并不断完善，与培养工作要求和毕业评价标准相衔接；</w:t>
            </w:r>
            <w:r w:rsidR="00E51BBC" w:rsidRPr="00E62F89">
              <w:rPr>
                <w:rFonts w:ascii="宋体" w:hAnsi="宋体" w:hint="eastAsia"/>
                <w:szCs w:val="21"/>
              </w:rPr>
              <w:t>培养</w:t>
            </w:r>
            <w:r w:rsidRPr="00E62F89">
              <w:rPr>
                <w:rFonts w:ascii="宋体" w:hAnsi="宋体" w:hint="eastAsia"/>
                <w:szCs w:val="21"/>
              </w:rPr>
              <w:t>工作程序规范、把控严格、质量较高。</w:t>
            </w:r>
          </w:p>
        </w:tc>
      </w:tr>
      <w:tr w:rsidR="007E123B" w:rsidTr="00132AE6">
        <w:trPr>
          <w:trHeight w:val="624"/>
        </w:trPr>
        <w:tc>
          <w:tcPr>
            <w:tcW w:w="755" w:type="dxa"/>
            <w:vMerge w:val="restart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  <w:p w:rsidR="007E123B" w:rsidRDefault="007E123B" w:rsidP="00132AE6">
            <w:pPr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基本条件</w:t>
            </w:r>
          </w:p>
        </w:tc>
        <w:tc>
          <w:tcPr>
            <w:tcW w:w="760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2.1</w:t>
            </w:r>
          </w:p>
          <w:p w:rsidR="007E123B" w:rsidRDefault="007E123B" w:rsidP="00132AE6">
            <w:pPr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培养方向</w:t>
            </w:r>
          </w:p>
        </w:tc>
        <w:tc>
          <w:tcPr>
            <w:tcW w:w="2137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本学位点的主要培养方向简介。</w:t>
            </w:r>
          </w:p>
        </w:tc>
        <w:tc>
          <w:tcPr>
            <w:tcW w:w="4853" w:type="dxa"/>
            <w:vAlign w:val="center"/>
          </w:tcPr>
          <w:p w:rsidR="007E123B" w:rsidRDefault="007E123B" w:rsidP="00E62F89">
            <w:pPr>
              <w:snapToGrid w:val="0"/>
              <w:spacing w:line="276" w:lineRule="auto"/>
              <w:ind w:firstLineChars="218" w:firstLine="458"/>
              <w:rPr>
                <w:szCs w:val="21"/>
              </w:rPr>
            </w:pPr>
            <w:r w:rsidRPr="006F55FB">
              <w:rPr>
                <w:rFonts w:hint="eastAsia"/>
                <w:szCs w:val="21"/>
              </w:rPr>
              <w:t>各培养方向设定科学、合理，</w:t>
            </w:r>
            <w:r>
              <w:rPr>
                <w:rFonts w:hint="eastAsia"/>
                <w:szCs w:val="21"/>
              </w:rPr>
              <w:t>切合</w:t>
            </w:r>
            <w:r w:rsidRPr="006F55FB">
              <w:rPr>
                <w:rFonts w:hint="eastAsia"/>
                <w:szCs w:val="21"/>
              </w:rPr>
              <w:t>本学位点的目标定位和学位</w:t>
            </w:r>
            <w:r>
              <w:rPr>
                <w:rFonts w:hint="eastAsia"/>
                <w:szCs w:val="21"/>
              </w:rPr>
              <w:t>授予基本</w:t>
            </w:r>
            <w:r w:rsidRPr="006F55FB">
              <w:rPr>
                <w:rFonts w:hint="eastAsia"/>
                <w:szCs w:val="21"/>
              </w:rPr>
              <w:t>标准，</w:t>
            </w:r>
            <w:r>
              <w:rPr>
                <w:rFonts w:hint="eastAsia"/>
                <w:szCs w:val="21"/>
              </w:rPr>
              <w:t>有相应的课程体系</w:t>
            </w:r>
            <w:r w:rsidRPr="000253A9">
              <w:rPr>
                <w:rFonts w:hint="eastAsia"/>
                <w:szCs w:val="21"/>
              </w:rPr>
              <w:t>、师资结构</w:t>
            </w:r>
            <w:r>
              <w:rPr>
                <w:rFonts w:hint="eastAsia"/>
                <w:szCs w:val="21"/>
              </w:rPr>
              <w:t>、</w:t>
            </w:r>
            <w:r w:rsidRPr="000253A9">
              <w:rPr>
                <w:rFonts w:hint="eastAsia"/>
                <w:szCs w:val="21"/>
              </w:rPr>
              <w:t>培养模式</w:t>
            </w:r>
            <w:r>
              <w:rPr>
                <w:rFonts w:hint="eastAsia"/>
                <w:szCs w:val="21"/>
              </w:rPr>
              <w:t>、</w:t>
            </w:r>
            <w:r w:rsidR="009B06C2" w:rsidRPr="00E62F89">
              <w:rPr>
                <w:rFonts w:hint="eastAsia"/>
                <w:szCs w:val="21"/>
              </w:rPr>
              <w:t>职业</w:t>
            </w:r>
            <w:r w:rsidR="00E62F89">
              <w:rPr>
                <w:rFonts w:hint="eastAsia"/>
                <w:szCs w:val="21"/>
              </w:rPr>
              <w:t>前景</w:t>
            </w:r>
            <w:r>
              <w:rPr>
                <w:rFonts w:hint="eastAsia"/>
                <w:szCs w:val="21"/>
              </w:rPr>
              <w:t>和质量保障机制支撑。</w:t>
            </w:r>
          </w:p>
        </w:tc>
      </w:tr>
      <w:tr w:rsidR="007E123B" w:rsidTr="00132AE6">
        <w:trPr>
          <w:trHeight w:val="624"/>
        </w:trPr>
        <w:tc>
          <w:tcPr>
            <w:tcW w:w="755" w:type="dxa"/>
            <w:vMerge/>
            <w:vAlign w:val="center"/>
            <w:hideMark/>
          </w:tcPr>
          <w:p w:rsidR="007E123B" w:rsidRDefault="007E123B" w:rsidP="00132AE6"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  <w:p w:rsidR="007E123B" w:rsidRDefault="007E123B" w:rsidP="00132AE6">
            <w:pPr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师资队伍</w:t>
            </w:r>
          </w:p>
        </w:tc>
        <w:tc>
          <w:tcPr>
            <w:tcW w:w="2137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各培养方向带头人、主要师资队伍情况。</w:t>
            </w:r>
          </w:p>
        </w:tc>
        <w:tc>
          <w:tcPr>
            <w:tcW w:w="4853" w:type="dxa"/>
            <w:vAlign w:val="center"/>
          </w:tcPr>
          <w:p w:rsidR="007E123B" w:rsidRDefault="007E123B" w:rsidP="00132AE6">
            <w:pPr>
              <w:snapToGrid w:val="0"/>
              <w:spacing w:line="276" w:lineRule="auto"/>
              <w:ind w:firstLineChars="218" w:firstLine="458"/>
              <w:rPr>
                <w:szCs w:val="21"/>
              </w:rPr>
            </w:pPr>
            <w:r w:rsidRPr="006F55FB">
              <w:rPr>
                <w:rFonts w:hint="eastAsia"/>
                <w:szCs w:val="21"/>
              </w:rPr>
              <w:t>带头人及导师</w:t>
            </w:r>
            <w:r>
              <w:rPr>
                <w:rFonts w:hint="eastAsia"/>
                <w:szCs w:val="21"/>
              </w:rPr>
              <w:t>能全面履行</w:t>
            </w:r>
            <w:r w:rsidRPr="006F55FB">
              <w:rPr>
                <w:rFonts w:hint="eastAsia"/>
                <w:szCs w:val="21"/>
              </w:rPr>
              <w:t>立德树人职责</w:t>
            </w:r>
            <w:r>
              <w:rPr>
                <w:rFonts w:hint="eastAsia"/>
                <w:szCs w:val="21"/>
              </w:rPr>
              <w:t>和师德规范，生师比适度，学历结构达标，年龄结构合理，各培养方向学科带头人均有校级以上骨干教师；专业学位点普遍实行双导师制，校内导师具有</w:t>
            </w:r>
            <w:r w:rsidRPr="006F55FB">
              <w:rPr>
                <w:rFonts w:hint="eastAsia"/>
                <w:szCs w:val="21"/>
              </w:rPr>
              <w:t>一定的实践经历</w:t>
            </w:r>
            <w:r>
              <w:rPr>
                <w:rFonts w:hint="eastAsia"/>
                <w:szCs w:val="21"/>
              </w:rPr>
              <w:t>，校外导师开设实践性课程</w:t>
            </w:r>
            <w:r w:rsidRPr="006F55FB">
              <w:rPr>
                <w:rFonts w:hint="eastAsia"/>
                <w:szCs w:val="21"/>
              </w:rPr>
              <w:t>。</w:t>
            </w:r>
          </w:p>
        </w:tc>
      </w:tr>
      <w:tr w:rsidR="007E123B" w:rsidTr="00132AE6">
        <w:trPr>
          <w:trHeight w:val="624"/>
        </w:trPr>
        <w:tc>
          <w:tcPr>
            <w:tcW w:w="755" w:type="dxa"/>
            <w:vMerge/>
            <w:vAlign w:val="center"/>
            <w:hideMark/>
          </w:tcPr>
          <w:p w:rsidR="007E123B" w:rsidRDefault="007E123B" w:rsidP="00132AE6"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2.3</w:t>
            </w:r>
          </w:p>
          <w:p w:rsidR="007E123B" w:rsidRDefault="007E123B" w:rsidP="00132AE6">
            <w:pPr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科学研究</w:t>
            </w:r>
          </w:p>
        </w:tc>
        <w:tc>
          <w:tcPr>
            <w:tcW w:w="2137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本学位点已完成的主要科研项目以及部分在研项目的情况。</w:t>
            </w:r>
          </w:p>
        </w:tc>
        <w:tc>
          <w:tcPr>
            <w:tcW w:w="4853" w:type="dxa"/>
            <w:vAlign w:val="center"/>
          </w:tcPr>
          <w:p w:rsidR="007E123B" w:rsidRPr="00E62F89" w:rsidRDefault="007E123B" w:rsidP="00132AE6">
            <w:pPr>
              <w:snapToGrid w:val="0"/>
              <w:spacing w:line="276" w:lineRule="auto"/>
              <w:ind w:firstLineChars="218" w:firstLine="458"/>
              <w:rPr>
                <w:szCs w:val="21"/>
              </w:rPr>
            </w:pPr>
            <w:r w:rsidRPr="00E62F89">
              <w:rPr>
                <w:rFonts w:hint="eastAsia"/>
                <w:szCs w:val="21"/>
              </w:rPr>
              <w:t>近</w:t>
            </w:r>
            <w:r w:rsidRPr="00E62F89">
              <w:rPr>
                <w:rFonts w:hint="eastAsia"/>
                <w:szCs w:val="21"/>
              </w:rPr>
              <w:t>5</w:t>
            </w:r>
            <w:r w:rsidRPr="00E62F89">
              <w:rPr>
                <w:rFonts w:hint="eastAsia"/>
                <w:szCs w:val="21"/>
              </w:rPr>
              <w:t>年学位点导师均承担与本硕士点培养方向相关的科研、教研、产教结合研究项目，在聘导师每人至少有一项校级以上成果（发表、交流、转化、获奖等）；师均年科研经费不低于</w:t>
            </w:r>
            <w:r w:rsidRPr="00E62F89">
              <w:rPr>
                <w:rFonts w:hint="eastAsia"/>
                <w:szCs w:val="21"/>
              </w:rPr>
              <w:t>4</w:t>
            </w:r>
            <w:r w:rsidRPr="00E62F89">
              <w:rPr>
                <w:rFonts w:hint="eastAsia"/>
                <w:szCs w:val="21"/>
              </w:rPr>
              <w:t>万元（外语、财经、政法和艺术体育类不低于</w:t>
            </w:r>
            <w:r w:rsidRPr="00E62F89">
              <w:rPr>
                <w:rFonts w:hint="eastAsia"/>
                <w:szCs w:val="21"/>
              </w:rPr>
              <w:t>1</w:t>
            </w:r>
            <w:r w:rsidRPr="00E62F89">
              <w:rPr>
                <w:rFonts w:hint="eastAsia"/>
                <w:szCs w:val="21"/>
              </w:rPr>
              <w:t>万元）。</w:t>
            </w:r>
          </w:p>
        </w:tc>
      </w:tr>
      <w:tr w:rsidR="007E123B" w:rsidTr="00132AE6">
        <w:trPr>
          <w:trHeight w:val="1421"/>
        </w:trPr>
        <w:tc>
          <w:tcPr>
            <w:tcW w:w="755" w:type="dxa"/>
            <w:vMerge/>
            <w:vAlign w:val="center"/>
            <w:hideMark/>
          </w:tcPr>
          <w:p w:rsidR="007E123B" w:rsidRDefault="007E123B" w:rsidP="00132AE6"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2.4</w:t>
            </w:r>
          </w:p>
          <w:p w:rsidR="007E123B" w:rsidRDefault="007E123B" w:rsidP="00132AE6">
            <w:pPr>
              <w:snapToGrid w:val="0"/>
              <w:spacing w:line="276" w:lineRule="auto"/>
              <w:jc w:val="center"/>
              <w:rPr>
                <w:rFonts w:ascii="Cambria" w:hAnsi="Cambria"/>
                <w:szCs w:val="21"/>
              </w:rPr>
            </w:pPr>
            <w:r>
              <w:rPr>
                <w:rFonts w:hint="eastAsia"/>
                <w:szCs w:val="21"/>
              </w:rPr>
              <w:t>教学科研支撑</w:t>
            </w:r>
          </w:p>
        </w:tc>
        <w:tc>
          <w:tcPr>
            <w:tcW w:w="2137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rPr>
                <w:rFonts w:ascii="Cambria" w:hAnsi="Cambria"/>
                <w:szCs w:val="21"/>
              </w:rPr>
            </w:pPr>
            <w:r>
              <w:rPr>
                <w:rFonts w:hint="eastAsia"/>
                <w:szCs w:val="21"/>
              </w:rPr>
              <w:t>本学位点支撑研究生学习、科研的平台情况。</w:t>
            </w:r>
          </w:p>
        </w:tc>
        <w:tc>
          <w:tcPr>
            <w:tcW w:w="4853" w:type="dxa"/>
            <w:vAlign w:val="center"/>
          </w:tcPr>
          <w:p w:rsidR="007E123B" w:rsidRPr="00E62F89" w:rsidRDefault="007E123B" w:rsidP="00132AE6">
            <w:pPr>
              <w:snapToGrid w:val="0"/>
              <w:spacing w:line="276" w:lineRule="auto"/>
              <w:ind w:firstLineChars="218" w:firstLine="458"/>
              <w:rPr>
                <w:szCs w:val="21"/>
              </w:rPr>
            </w:pPr>
            <w:r w:rsidRPr="00E62F89">
              <w:rPr>
                <w:rFonts w:hint="eastAsia"/>
                <w:szCs w:val="21"/>
              </w:rPr>
              <w:t>生均经费收入达到</w:t>
            </w:r>
            <w:r w:rsidRPr="00E62F89">
              <w:rPr>
                <w:rFonts w:hint="eastAsia"/>
                <w:szCs w:val="21"/>
              </w:rPr>
              <w:t>3</w:t>
            </w:r>
            <w:r w:rsidRPr="00E62F89">
              <w:rPr>
                <w:rFonts w:hint="eastAsia"/>
                <w:szCs w:val="21"/>
              </w:rPr>
              <w:t>万元（艺体类</w:t>
            </w:r>
            <w:r w:rsidRPr="00E62F89">
              <w:rPr>
                <w:rFonts w:hint="eastAsia"/>
                <w:szCs w:val="21"/>
              </w:rPr>
              <w:t>4</w:t>
            </w:r>
            <w:r w:rsidRPr="00E62F89">
              <w:rPr>
                <w:rFonts w:hint="eastAsia"/>
                <w:szCs w:val="21"/>
              </w:rPr>
              <w:t>万元）以上；有满足研究生培养需要的专用学习室、图书资料、网络平台、数字化资源、专业实验室、校外实践研究场所；学位点承担或合作的研究项目吸纳研究生参与，对人才培养起到较好的指导帮助作用。</w:t>
            </w:r>
          </w:p>
        </w:tc>
      </w:tr>
      <w:tr w:rsidR="007E123B" w:rsidTr="00132AE6">
        <w:trPr>
          <w:trHeight w:val="624"/>
        </w:trPr>
        <w:tc>
          <w:tcPr>
            <w:tcW w:w="755" w:type="dxa"/>
            <w:vMerge/>
            <w:vAlign w:val="center"/>
            <w:hideMark/>
          </w:tcPr>
          <w:p w:rsidR="007E123B" w:rsidRDefault="007E123B" w:rsidP="00132AE6"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jc w:val="center"/>
              <w:rPr>
                <w:rFonts w:ascii="Cambria" w:hAnsi="Cambria"/>
                <w:szCs w:val="21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2.5奖助体系</w:t>
            </w:r>
          </w:p>
        </w:tc>
        <w:tc>
          <w:tcPr>
            <w:tcW w:w="2137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rPr>
                <w:rFonts w:ascii="Cambria" w:hAnsi="Cambr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本学位点研究生奖助体系的制度建设、奖助水平、覆盖面等情况。</w:t>
            </w:r>
          </w:p>
        </w:tc>
        <w:tc>
          <w:tcPr>
            <w:tcW w:w="4853" w:type="dxa"/>
            <w:vAlign w:val="center"/>
          </w:tcPr>
          <w:p w:rsidR="007E123B" w:rsidRDefault="007E123B" w:rsidP="00132AE6">
            <w:pPr>
              <w:snapToGrid w:val="0"/>
              <w:spacing w:line="276" w:lineRule="auto"/>
              <w:ind w:firstLineChars="218" w:firstLine="458"/>
              <w:rPr>
                <w:rFonts w:ascii="宋体" w:hAnsi="宋体"/>
                <w:szCs w:val="21"/>
              </w:rPr>
            </w:pPr>
            <w:r w:rsidRPr="00810DE1">
              <w:rPr>
                <w:rFonts w:ascii="宋体" w:hAnsi="宋体" w:hint="eastAsia"/>
                <w:szCs w:val="21"/>
              </w:rPr>
              <w:t>学生奖助体系健全，形式多样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810DE1">
              <w:rPr>
                <w:rFonts w:ascii="宋体" w:hAnsi="宋体" w:hint="eastAsia"/>
                <w:szCs w:val="21"/>
              </w:rPr>
              <w:t>制度</w:t>
            </w:r>
            <w:r>
              <w:rPr>
                <w:rFonts w:ascii="宋体" w:hAnsi="宋体" w:hint="eastAsia"/>
                <w:szCs w:val="21"/>
              </w:rPr>
              <w:t>规范；奖助</w:t>
            </w:r>
            <w:r w:rsidRPr="00810DE1">
              <w:rPr>
                <w:rFonts w:ascii="宋体" w:hAnsi="宋体" w:hint="eastAsia"/>
                <w:szCs w:val="21"/>
              </w:rPr>
              <w:t>覆盖面较广，奖助水平达到本单位的平均水平，能够满足所有研究生学习、生活、研究和实践需要。</w:t>
            </w:r>
          </w:p>
        </w:tc>
      </w:tr>
      <w:tr w:rsidR="007E123B" w:rsidTr="00132AE6">
        <w:trPr>
          <w:trHeight w:val="204"/>
        </w:trPr>
        <w:tc>
          <w:tcPr>
            <w:tcW w:w="755" w:type="dxa"/>
            <w:vMerge w:val="restart"/>
            <w:vAlign w:val="center"/>
          </w:tcPr>
          <w:p w:rsidR="007E123B" w:rsidRDefault="007E123B" w:rsidP="00132AE6">
            <w:pPr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</w:t>
            </w:r>
          </w:p>
          <w:p w:rsidR="007E123B" w:rsidRDefault="007E123B" w:rsidP="00132AE6">
            <w:pPr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人才培养</w:t>
            </w:r>
          </w:p>
        </w:tc>
        <w:tc>
          <w:tcPr>
            <w:tcW w:w="760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3.1招生选拔</w:t>
            </w:r>
          </w:p>
        </w:tc>
        <w:tc>
          <w:tcPr>
            <w:tcW w:w="2137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学位授权点研究生报考数量、录取比例、录取人数、生源结构情况，以及为保证生源质量采取的措施。</w:t>
            </w:r>
          </w:p>
        </w:tc>
        <w:tc>
          <w:tcPr>
            <w:tcW w:w="4853" w:type="dxa"/>
            <w:vAlign w:val="center"/>
          </w:tcPr>
          <w:p w:rsidR="007E123B" w:rsidRDefault="007E123B" w:rsidP="00132AE6">
            <w:pPr>
              <w:snapToGrid w:val="0"/>
              <w:spacing w:line="276" w:lineRule="auto"/>
              <w:ind w:firstLineChars="218" w:firstLine="458"/>
              <w:rPr>
                <w:rFonts w:ascii="宋体" w:hAnsi="宋体"/>
                <w:szCs w:val="21"/>
                <w:lang w:val="zh-CN"/>
              </w:rPr>
            </w:pPr>
            <w:r w:rsidRPr="002E236B">
              <w:rPr>
                <w:rFonts w:ascii="宋体" w:hAnsi="宋体" w:hint="eastAsia"/>
                <w:szCs w:val="21"/>
                <w:lang w:val="zh-CN"/>
              </w:rPr>
              <w:t>新生选拔工作制度健全，程序规范，信息公开，选拔方法有所创新</w:t>
            </w:r>
            <w:r>
              <w:rPr>
                <w:rFonts w:ascii="宋体" w:hAnsi="宋体" w:hint="eastAsia"/>
                <w:szCs w:val="21"/>
                <w:lang w:val="zh-CN"/>
              </w:rPr>
              <w:t>；</w:t>
            </w:r>
            <w:r w:rsidRPr="002E236B">
              <w:rPr>
                <w:rFonts w:ascii="宋体" w:hAnsi="宋体" w:hint="eastAsia"/>
                <w:szCs w:val="21"/>
                <w:lang w:val="zh-CN"/>
              </w:rPr>
              <w:t>近5年招生计划足额完成，</w:t>
            </w:r>
            <w:r>
              <w:rPr>
                <w:rFonts w:ascii="宋体" w:hAnsi="宋体" w:hint="eastAsia"/>
                <w:szCs w:val="21"/>
                <w:lang w:val="zh-CN"/>
              </w:rPr>
              <w:t>有保证生源结构、提高</w:t>
            </w:r>
            <w:r w:rsidRPr="002E236B">
              <w:rPr>
                <w:rFonts w:ascii="宋体" w:hAnsi="宋体" w:hint="eastAsia"/>
                <w:szCs w:val="21"/>
                <w:lang w:val="zh-CN"/>
              </w:rPr>
              <w:t>生源质量的措施；对教育质量较低或出现严重师德师风问题的</w:t>
            </w:r>
            <w:r>
              <w:rPr>
                <w:rFonts w:ascii="宋体" w:hAnsi="宋体" w:hint="eastAsia"/>
                <w:szCs w:val="21"/>
                <w:lang w:val="zh-CN"/>
              </w:rPr>
              <w:t>培养方向采取</w:t>
            </w:r>
            <w:r w:rsidRPr="002E236B">
              <w:rPr>
                <w:rFonts w:ascii="宋体" w:hAnsi="宋体" w:hint="eastAsia"/>
                <w:szCs w:val="21"/>
                <w:lang w:val="zh-CN"/>
              </w:rPr>
              <w:t>招生调控措施</w:t>
            </w:r>
            <w:r>
              <w:rPr>
                <w:rFonts w:ascii="宋体" w:hAnsi="宋体" w:hint="eastAsia"/>
                <w:szCs w:val="21"/>
                <w:lang w:val="zh-CN"/>
              </w:rPr>
              <w:t>。</w:t>
            </w:r>
            <w:r>
              <w:rPr>
                <w:rFonts w:ascii="宋体" w:hAnsi="宋体"/>
                <w:szCs w:val="21"/>
                <w:lang w:val="zh-CN"/>
              </w:rPr>
              <w:t xml:space="preserve"> </w:t>
            </w:r>
          </w:p>
        </w:tc>
      </w:tr>
      <w:tr w:rsidR="007E123B" w:rsidTr="00132AE6">
        <w:trPr>
          <w:trHeight w:val="624"/>
        </w:trPr>
        <w:tc>
          <w:tcPr>
            <w:tcW w:w="755" w:type="dxa"/>
            <w:vMerge/>
            <w:vAlign w:val="center"/>
            <w:hideMark/>
          </w:tcPr>
          <w:p w:rsidR="007E123B" w:rsidRDefault="007E123B" w:rsidP="00132AE6"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3.2课程教学</w:t>
            </w:r>
          </w:p>
        </w:tc>
        <w:tc>
          <w:tcPr>
            <w:tcW w:w="2137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本学位点开设的核心课程及主讲教师。课程教学质量和持续改进机制。</w:t>
            </w:r>
          </w:p>
        </w:tc>
        <w:tc>
          <w:tcPr>
            <w:tcW w:w="4853" w:type="dxa"/>
            <w:vAlign w:val="center"/>
          </w:tcPr>
          <w:p w:rsidR="007E123B" w:rsidRDefault="007E123B" w:rsidP="00132AE6">
            <w:pPr>
              <w:snapToGrid w:val="0"/>
              <w:spacing w:line="276" w:lineRule="auto"/>
              <w:ind w:firstLineChars="218" w:firstLine="4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优化核心</w:t>
            </w:r>
            <w:r w:rsidRPr="002E236B">
              <w:rPr>
                <w:rFonts w:ascii="宋体" w:hAnsi="宋体" w:hint="eastAsia"/>
                <w:szCs w:val="21"/>
              </w:rPr>
              <w:t>课程</w:t>
            </w:r>
            <w:r>
              <w:rPr>
                <w:rFonts w:ascii="宋体" w:hAnsi="宋体" w:hint="eastAsia"/>
                <w:szCs w:val="21"/>
              </w:rPr>
              <w:t>，精选</w:t>
            </w:r>
            <w:r w:rsidRPr="002E236B">
              <w:rPr>
                <w:rFonts w:ascii="宋体" w:hAnsi="宋体" w:hint="eastAsia"/>
                <w:szCs w:val="21"/>
              </w:rPr>
              <w:t>教学内容，</w:t>
            </w:r>
            <w:r w:rsidRPr="004A5FEC">
              <w:rPr>
                <w:rFonts w:ascii="宋体" w:hAnsi="宋体" w:hint="eastAsia"/>
                <w:szCs w:val="21"/>
              </w:rPr>
              <w:t>创新教学方法</w:t>
            </w:r>
            <w:r>
              <w:rPr>
                <w:rFonts w:ascii="宋体" w:hAnsi="宋体" w:hint="eastAsia"/>
                <w:szCs w:val="21"/>
              </w:rPr>
              <w:t>，开发课程资源，鼓励跨学科学习，体现出所属学位教育类别的个性特点</w:t>
            </w:r>
            <w:r w:rsidRPr="002E236B">
              <w:rPr>
                <w:rFonts w:ascii="宋体" w:hAnsi="宋体" w:hint="eastAsia"/>
                <w:szCs w:val="21"/>
              </w:rPr>
              <w:t>；健全</w:t>
            </w:r>
            <w:r>
              <w:rPr>
                <w:rFonts w:ascii="宋体" w:hAnsi="宋体" w:hint="eastAsia"/>
                <w:szCs w:val="21"/>
              </w:rPr>
              <w:t>教学</w:t>
            </w:r>
            <w:r w:rsidRPr="002E236B">
              <w:rPr>
                <w:rFonts w:ascii="宋体" w:hAnsi="宋体" w:hint="eastAsia"/>
                <w:szCs w:val="21"/>
              </w:rPr>
              <w:t>质量监控与改进机制，</w:t>
            </w:r>
            <w:r>
              <w:rPr>
                <w:rFonts w:ascii="宋体" w:hAnsi="宋体" w:hint="eastAsia"/>
                <w:szCs w:val="21"/>
              </w:rPr>
              <w:t>有基本的</w:t>
            </w:r>
            <w:r w:rsidRPr="002E236B">
              <w:rPr>
                <w:rFonts w:ascii="宋体" w:hAnsi="宋体" w:hint="eastAsia"/>
                <w:szCs w:val="21"/>
              </w:rPr>
              <w:t>评价标准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2E236B">
              <w:rPr>
                <w:rFonts w:ascii="宋体" w:hAnsi="宋体" w:hint="eastAsia"/>
                <w:szCs w:val="21"/>
              </w:rPr>
              <w:t>考核方式</w:t>
            </w:r>
            <w:r>
              <w:rPr>
                <w:rFonts w:ascii="宋体" w:hAnsi="宋体" w:hint="eastAsia"/>
                <w:szCs w:val="21"/>
              </w:rPr>
              <w:t>、可溯性过程管理资料，改进措施切实有效。</w:t>
            </w:r>
          </w:p>
        </w:tc>
      </w:tr>
      <w:tr w:rsidR="007E123B" w:rsidTr="00132AE6">
        <w:trPr>
          <w:trHeight w:val="624"/>
        </w:trPr>
        <w:tc>
          <w:tcPr>
            <w:tcW w:w="755" w:type="dxa"/>
            <w:vMerge/>
            <w:vAlign w:val="center"/>
            <w:hideMark/>
          </w:tcPr>
          <w:p w:rsidR="007E123B" w:rsidRDefault="007E123B" w:rsidP="00132AE6"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3.3导师指导</w:t>
            </w:r>
          </w:p>
        </w:tc>
        <w:tc>
          <w:tcPr>
            <w:tcW w:w="2137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导师队伍的选聘、培训、考核情况。导师指导研究生的制度要求和执行情况。</w:t>
            </w:r>
          </w:p>
        </w:tc>
        <w:tc>
          <w:tcPr>
            <w:tcW w:w="4853" w:type="dxa"/>
            <w:vAlign w:val="center"/>
          </w:tcPr>
          <w:p w:rsidR="007E123B" w:rsidRDefault="007E123B" w:rsidP="00132AE6">
            <w:pPr>
              <w:snapToGrid w:val="0"/>
              <w:spacing w:line="276" w:lineRule="auto"/>
              <w:ind w:firstLineChars="218" w:firstLine="458"/>
              <w:rPr>
                <w:rFonts w:ascii="宋体" w:hAnsi="宋体"/>
                <w:szCs w:val="21"/>
              </w:rPr>
            </w:pPr>
            <w:r w:rsidRPr="00102F85">
              <w:rPr>
                <w:rFonts w:ascii="宋体" w:hAnsi="宋体" w:hint="eastAsia"/>
                <w:szCs w:val="21"/>
              </w:rPr>
              <w:t>实行</w:t>
            </w:r>
            <w:r>
              <w:rPr>
                <w:rFonts w:ascii="宋体" w:hAnsi="宋体" w:hint="eastAsia"/>
                <w:szCs w:val="21"/>
              </w:rPr>
              <w:t>导师分类管理机制，实施</w:t>
            </w:r>
            <w:r w:rsidRPr="00102F85">
              <w:rPr>
                <w:rFonts w:ascii="宋体" w:hAnsi="宋体" w:hint="eastAsia"/>
                <w:szCs w:val="21"/>
              </w:rPr>
              <w:t>培训</w:t>
            </w:r>
            <w:r>
              <w:rPr>
                <w:rFonts w:ascii="宋体" w:hAnsi="宋体" w:hint="eastAsia"/>
                <w:szCs w:val="21"/>
              </w:rPr>
              <w:t>、选聘、考核、奖罚、</w:t>
            </w:r>
            <w:r w:rsidRPr="00D7199D">
              <w:rPr>
                <w:rFonts w:ascii="宋体" w:hAnsi="宋体" w:hint="eastAsia"/>
                <w:szCs w:val="21"/>
              </w:rPr>
              <w:t>退出</w:t>
            </w:r>
            <w:r>
              <w:rPr>
                <w:rFonts w:ascii="宋体" w:hAnsi="宋体" w:hint="eastAsia"/>
                <w:szCs w:val="21"/>
              </w:rPr>
              <w:t>等制度；</w:t>
            </w:r>
            <w:r w:rsidRPr="00102F85">
              <w:rPr>
                <w:rFonts w:ascii="宋体" w:hAnsi="宋体" w:hint="eastAsia"/>
                <w:szCs w:val="21"/>
              </w:rPr>
              <w:t>导师立德树人职责全面、明确，研究生指导制度规范</w:t>
            </w:r>
            <w:r>
              <w:rPr>
                <w:rFonts w:ascii="宋体" w:hAnsi="宋体" w:hint="eastAsia"/>
                <w:szCs w:val="21"/>
              </w:rPr>
              <w:t>、具体</w:t>
            </w:r>
            <w:r w:rsidRPr="00102F85">
              <w:rPr>
                <w:rFonts w:ascii="宋体" w:hAnsi="宋体" w:hint="eastAsia"/>
                <w:szCs w:val="21"/>
              </w:rPr>
              <w:t>，执行情况良好</w:t>
            </w:r>
            <w:r>
              <w:rPr>
                <w:rFonts w:ascii="宋体" w:hAnsi="宋体" w:hint="eastAsia"/>
                <w:szCs w:val="21"/>
              </w:rPr>
              <w:t>，师生关系融洽，研究生满意度较高。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7E123B" w:rsidTr="00132AE6">
        <w:trPr>
          <w:trHeight w:val="1606"/>
        </w:trPr>
        <w:tc>
          <w:tcPr>
            <w:tcW w:w="755" w:type="dxa"/>
            <w:vMerge/>
            <w:vAlign w:val="center"/>
            <w:hideMark/>
          </w:tcPr>
          <w:p w:rsidR="007E123B" w:rsidRDefault="007E123B" w:rsidP="00132AE6"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3.4学术训练</w:t>
            </w:r>
          </w:p>
          <w:p w:rsidR="007E123B" w:rsidRDefault="007E123B" w:rsidP="00132AE6">
            <w:pPr>
              <w:snapToGrid w:val="0"/>
              <w:spacing w:line="276" w:lineRule="auto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（或实践教学）</w:t>
            </w:r>
          </w:p>
        </w:tc>
        <w:tc>
          <w:tcPr>
            <w:tcW w:w="2137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研究生参与学术训练的情况，专业学位研究生参与实践教学的情况，包括制度保证、经费支持等。</w:t>
            </w:r>
          </w:p>
        </w:tc>
        <w:tc>
          <w:tcPr>
            <w:tcW w:w="4853" w:type="dxa"/>
            <w:vAlign w:val="center"/>
          </w:tcPr>
          <w:p w:rsidR="007E123B" w:rsidRPr="00A579B6" w:rsidRDefault="007E123B" w:rsidP="00132AE6">
            <w:pPr>
              <w:snapToGrid w:val="0"/>
              <w:spacing w:line="276" w:lineRule="auto"/>
              <w:ind w:firstLineChars="218" w:firstLine="458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结合本授权点人才培养实际，系统</w:t>
            </w:r>
            <w:r w:rsidRPr="00A579B6">
              <w:rPr>
                <w:rFonts w:asciiTheme="minorEastAsia" w:hAnsiTheme="minorEastAsia" w:hint="eastAsia"/>
                <w:szCs w:val="21"/>
              </w:rPr>
              <w:t>进行</w:t>
            </w:r>
            <w:r>
              <w:rPr>
                <w:rFonts w:asciiTheme="minorEastAsia" w:hAnsiTheme="minorEastAsia" w:hint="eastAsia"/>
                <w:szCs w:val="21"/>
              </w:rPr>
              <w:t>专业阅读、学术研究和论文写作</w:t>
            </w:r>
            <w:r w:rsidRPr="00A579B6">
              <w:rPr>
                <w:rFonts w:asciiTheme="minorEastAsia" w:hAnsiTheme="minorEastAsia" w:hint="eastAsia"/>
                <w:szCs w:val="21"/>
              </w:rPr>
              <w:t>的</w:t>
            </w:r>
            <w:r>
              <w:rPr>
                <w:rFonts w:asciiTheme="minorEastAsia" w:hAnsiTheme="minorEastAsia" w:hint="eastAsia"/>
                <w:szCs w:val="21"/>
              </w:rPr>
              <w:t>指导与</w:t>
            </w:r>
            <w:r w:rsidRPr="00A579B6">
              <w:rPr>
                <w:rFonts w:asciiTheme="minorEastAsia" w:hAnsiTheme="minorEastAsia" w:hint="eastAsia"/>
                <w:szCs w:val="21"/>
              </w:rPr>
              <w:t>训练；专业实践制度、实习经费标准和质量评价机制落实，实践管理注重过程化、个性化</w:t>
            </w:r>
            <w:r>
              <w:rPr>
                <w:rFonts w:asciiTheme="minorEastAsia" w:hAnsiTheme="minorEastAsia" w:hint="eastAsia"/>
                <w:szCs w:val="21"/>
              </w:rPr>
              <w:t>和</w:t>
            </w:r>
            <w:r w:rsidRPr="00A579B6">
              <w:rPr>
                <w:rFonts w:asciiTheme="minorEastAsia" w:hAnsiTheme="minorEastAsia" w:hint="eastAsia"/>
                <w:szCs w:val="21"/>
              </w:rPr>
              <w:t>信息化；校内外实践基地（含研究生工作站）稳定、利用率高，管理、评价和调整制度健全。</w:t>
            </w:r>
          </w:p>
        </w:tc>
      </w:tr>
      <w:tr w:rsidR="007E123B" w:rsidTr="00132AE6">
        <w:trPr>
          <w:trHeight w:val="624"/>
        </w:trPr>
        <w:tc>
          <w:tcPr>
            <w:tcW w:w="755" w:type="dxa"/>
            <w:vMerge/>
            <w:vAlign w:val="center"/>
            <w:hideMark/>
          </w:tcPr>
          <w:p w:rsidR="007E123B" w:rsidRDefault="007E123B" w:rsidP="00132AE6"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3.5学术交流</w:t>
            </w:r>
          </w:p>
        </w:tc>
        <w:tc>
          <w:tcPr>
            <w:tcW w:w="2137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研究生参与国际国内学术交流的基本情况。</w:t>
            </w:r>
          </w:p>
        </w:tc>
        <w:tc>
          <w:tcPr>
            <w:tcW w:w="4853" w:type="dxa"/>
            <w:vAlign w:val="center"/>
          </w:tcPr>
          <w:p w:rsidR="007E123B" w:rsidRDefault="007E123B" w:rsidP="00132AE6">
            <w:pPr>
              <w:snapToGrid w:val="0"/>
              <w:spacing w:line="276" w:lineRule="auto"/>
              <w:ind w:firstLineChars="218" w:firstLine="458"/>
              <w:rPr>
                <w:rFonts w:ascii="宋体" w:hAnsi="宋体"/>
                <w:szCs w:val="21"/>
              </w:rPr>
            </w:pPr>
            <w:r w:rsidRPr="00A579B6">
              <w:rPr>
                <w:rFonts w:ascii="宋体" w:hAnsi="宋体" w:hint="eastAsia"/>
                <w:szCs w:val="21"/>
              </w:rPr>
              <w:t>搭建</w:t>
            </w:r>
            <w:r>
              <w:rPr>
                <w:rFonts w:ascii="宋体" w:hAnsi="宋体" w:hint="eastAsia"/>
                <w:szCs w:val="21"/>
              </w:rPr>
              <w:t>常态化</w:t>
            </w:r>
            <w:r w:rsidRPr="00A579B6">
              <w:rPr>
                <w:rFonts w:ascii="宋体" w:hAnsi="宋体" w:hint="eastAsia"/>
                <w:szCs w:val="21"/>
              </w:rPr>
              <w:t>交流平台，每年有计划的举办学术讲座、专题报告、专业研讨等</w:t>
            </w:r>
            <w:r>
              <w:rPr>
                <w:rFonts w:ascii="宋体" w:hAnsi="宋体" w:hint="eastAsia"/>
                <w:szCs w:val="21"/>
              </w:rPr>
              <w:t>，鼓励多领域学习和跨学科（专业）研究</w:t>
            </w:r>
            <w:r w:rsidRPr="00A579B6">
              <w:rPr>
                <w:rFonts w:ascii="宋体" w:hAnsi="宋体" w:hint="eastAsia"/>
                <w:szCs w:val="21"/>
              </w:rPr>
              <w:t>；支持学生参加国内国际学术会议、专业活动和网络交流，参与交流的学习、研究与创新成果</w:t>
            </w:r>
            <w:r>
              <w:rPr>
                <w:rFonts w:ascii="宋体" w:hAnsi="宋体" w:hint="eastAsia"/>
                <w:szCs w:val="21"/>
              </w:rPr>
              <w:t>有一定</w:t>
            </w:r>
            <w:r w:rsidRPr="00A579B6">
              <w:rPr>
                <w:rFonts w:ascii="宋体" w:hAnsi="宋体" w:hint="eastAsia"/>
                <w:szCs w:val="21"/>
              </w:rPr>
              <w:t xml:space="preserve">质量。  </w:t>
            </w:r>
          </w:p>
        </w:tc>
      </w:tr>
      <w:tr w:rsidR="007E123B" w:rsidTr="00132AE6">
        <w:trPr>
          <w:trHeight w:val="624"/>
        </w:trPr>
        <w:tc>
          <w:tcPr>
            <w:tcW w:w="755" w:type="dxa"/>
            <w:vMerge/>
            <w:vAlign w:val="center"/>
            <w:hideMark/>
          </w:tcPr>
          <w:p w:rsidR="007E123B" w:rsidRDefault="007E123B" w:rsidP="00132AE6"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3.6分流淘汰</w:t>
            </w:r>
          </w:p>
        </w:tc>
        <w:tc>
          <w:tcPr>
            <w:tcW w:w="2137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研究生特别是博士生分流情况，提供研究生分流淘汰相关数据。</w:t>
            </w:r>
          </w:p>
        </w:tc>
        <w:tc>
          <w:tcPr>
            <w:tcW w:w="4853" w:type="dxa"/>
            <w:vAlign w:val="center"/>
          </w:tcPr>
          <w:p w:rsidR="007E123B" w:rsidRDefault="007E123B" w:rsidP="00132AE6">
            <w:pPr>
              <w:snapToGrid w:val="0"/>
              <w:spacing w:line="276" w:lineRule="auto"/>
              <w:ind w:firstLineChars="218" w:firstLine="458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认真执行本单位研究生</w:t>
            </w:r>
            <w:r w:rsidRPr="001145D5">
              <w:rPr>
                <w:rFonts w:ascii="宋体" w:hAnsi="宋体" w:hint="eastAsia"/>
                <w:szCs w:val="21"/>
                <w:lang w:val="zh-CN"/>
              </w:rPr>
              <w:t>分流淘汰制度，工作</w:t>
            </w:r>
            <w:r>
              <w:rPr>
                <w:rFonts w:ascii="宋体" w:hAnsi="宋体" w:hint="eastAsia"/>
                <w:szCs w:val="21"/>
                <w:lang w:val="zh-CN"/>
              </w:rPr>
              <w:t>细致，程序规范，处理稳妥，</w:t>
            </w:r>
            <w:r w:rsidRPr="001145D5">
              <w:rPr>
                <w:rFonts w:ascii="宋体" w:hAnsi="宋体" w:hint="eastAsia"/>
                <w:szCs w:val="21"/>
                <w:lang w:val="zh-CN"/>
              </w:rPr>
              <w:t>有相应的分流淘汰数据分析</w:t>
            </w:r>
            <w:r>
              <w:rPr>
                <w:rFonts w:ascii="宋体" w:hAnsi="宋体" w:hint="eastAsia"/>
                <w:szCs w:val="21"/>
                <w:lang w:val="zh-CN"/>
              </w:rPr>
              <w:t>、</w:t>
            </w:r>
            <w:r w:rsidRPr="001145D5">
              <w:rPr>
                <w:rFonts w:ascii="宋体" w:hAnsi="宋体" w:hint="eastAsia"/>
                <w:szCs w:val="21"/>
                <w:lang w:val="zh-CN"/>
              </w:rPr>
              <w:t>预警报告</w:t>
            </w:r>
            <w:r>
              <w:rPr>
                <w:rFonts w:ascii="宋体" w:hAnsi="宋体" w:hint="eastAsia"/>
                <w:szCs w:val="21"/>
                <w:lang w:val="zh-CN"/>
              </w:rPr>
              <w:t>和保障措施。</w:t>
            </w:r>
          </w:p>
        </w:tc>
      </w:tr>
      <w:tr w:rsidR="007E123B" w:rsidTr="00132AE6">
        <w:trPr>
          <w:trHeight w:val="1394"/>
        </w:trPr>
        <w:tc>
          <w:tcPr>
            <w:tcW w:w="755" w:type="dxa"/>
            <w:vMerge/>
            <w:vAlign w:val="center"/>
            <w:hideMark/>
          </w:tcPr>
          <w:p w:rsidR="007E123B" w:rsidRDefault="007E123B" w:rsidP="00132AE6"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>3.7论文质量</w:t>
            </w:r>
          </w:p>
        </w:tc>
        <w:tc>
          <w:tcPr>
            <w:tcW w:w="2137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本学位点学位论文在各类论文抽检、评审中的情况和论文质量分析。</w:t>
            </w:r>
          </w:p>
        </w:tc>
        <w:tc>
          <w:tcPr>
            <w:tcW w:w="4853" w:type="dxa"/>
            <w:vAlign w:val="center"/>
          </w:tcPr>
          <w:p w:rsidR="007E123B" w:rsidRDefault="007E123B" w:rsidP="00132AE6">
            <w:pPr>
              <w:snapToGrid w:val="0"/>
              <w:spacing w:line="276" w:lineRule="auto"/>
              <w:ind w:firstLineChars="218" w:firstLine="458"/>
              <w:rPr>
                <w:rFonts w:ascii="宋体" w:hAnsi="宋体"/>
                <w:szCs w:val="21"/>
              </w:rPr>
            </w:pPr>
            <w:r w:rsidRPr="001145D5">
              <w:rPr>
                <w:rFonts w:ascii="宋体" w:hAnsi="宋体" w:hint="eastAsia"/>
                <w:szCs w:val="21"/>
              </w:rPr>
              <w:t>学位论文写作要求</w:t>
            </w:r>
            <w:r>
              <w:rPr>
                <w:rFonts w:ascii="宋体" w:hAnsi="宋体" w:hint="eastAsia"/>
                <w:szCs w:val="21"/>
              </w:rPr>
              <w:t>和导师指导流程</w:t>
            </w:r>
            <w:r w:rsidRPr="001145D5">
              <w:rPr>
                <w:rFonts w:ascii="宋体" w:hAnsi="宋体" w:hint="eastAsia"/>
                <w:szCs w:val="21"/>
              </w:rPr>
              <w:t>规范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1145D5">
              <w:rPr>
                <w:rFonts w:ascii="宋体" w:hAnsi="宋体" w:hint="eastAsia"/>
                <w:szCs w:val="21"/>
              </w:rPr>
              <w:t>具体、明</w:t>
            </w:r>
            <w:r>
              <w:rPr>
                <w:rFonts w:ascii="宋体" w:hAnsi="宋体" w:hint="eastAsia"/>
                <w:szCs w:val="21"/>
              </w:rPr>
              <w:t>确；</w:t>
            </w:r>
            <w:r w:rsidRPr="001145D5">
              <w:rPr>
                <w:rFonts w:ascii="宋体" w:hAnsi="宋体" w:hint="eastAsia"/>
                <w:szCs w:val="21"/>
              </w:rPr>
              <w:t>选题</w:t>
            </w:r>
            <w:r>
              <w:rPr>
                <w:rFonts w:ascii="宋体" w:hAnsi="宋体" w:hint="eastAsia"/>
                <w:szCs w:val="21"/>
              </w:rPr>
              <w:t>、开题、中期检查、盲审、答辩、入库程序健全；</w:t>
            </w:r>
            <w:r w:rsidRPr="001145D5">
              <w:rPr>
                <w:rFonts w:ascii="宋体" w:hAnsi="宋体" w:hint="eastAsia"/>
                <w:szCs w:val="21"/>
              </w:rPr>
              <w:t>近5年学位点论文</w:t>
            </w:r>
            <w:r>
              <w:rPr>
                <w:rFonts w:ascii="宋体" w:hAnsi="宋体" w:hint="eastAsia"/>
                <w:szCs w:val="21"/>
              </w:rPr>
              <w:t>盲审率达到校均水平，</w:t>
            </w:r>
            <w:r w:rsidRPr="001145D5">
              <w:rPr>
                <w:rFonts w:ascii="宋体" w:hAnsi="宋体" w:hint="eastAsia"/>
                <w:szCs w:val="21"/>
              </w:rPr>
              <w:t>抽检合格率达到省均水平。</w:t>
            </w:r>
          </w:p>
        </w:tc>
      </w:tr>
      <w:tr w:rsidR="007E123B" w:rsidTr="00132AE6">
        <w:trPr>
          <w:trHeight w:val="1541"/>
        </w:trPr>
        <w:tc>
          <w:tcPr>
            <w:tcW w:w="755" w:type="dxa"/>
            <w:vMerge/>
            <w:vAlign w:val="center"/>
            <w:hideMark/>
          </w:tcPr>
          <w:p w:rsidR="007E123B" w:rsidRDefault="007E123B" w:rsidP="00132AE6"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>3.8学风教育</w:t>
            </w:r>
          </w:p>
        </w:tc>
        <w:tc>
          <w:tcPr>
            <w:tcW w:w="2137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本学位点科学道德和学术规范教育情况，学术不端行为处罚情况。</w:t>
            </w:r>
          </w:p>
        </w:tc>
        <w:tc>
          <w:tcPr>
            <w:tcW w:w="4853" w:type="dxa"/>
            <w:vAlign w:val="center"/>
          </w:tcPr>
          <w:p w:rsidR="007E123B" w:rsidRDefault="007E123B" w:rsidP="00132AE6">
            <w:pPr>
              <w:snapToGrid w:val="0"/>
              <w:spacing w:line="276" w:lineRule="auto"/>
              <w:ind w:firstLineChars="218" w:firstLine="4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系统进行</w:t>
            </w:r>
            <w:r w:rsidRPr="00500999">
              <w:rPr>
                <w:rFonts w:ascii="宋体" w:hAnsi="宋体" w:hint="eastAsia"/>
                <w:szCs w:val="21"/>
              </w:rPr>
              <w:t>学风、科学道德与学术规范教育，</w:t>
            </w:r>
            <w:r>
              <w:rPr>
                <w:rFonts w:ascii="宋体" w:hAnsi="宋体" w:hint="eastAsia"/>
                <w:szCs w:val="21"/>
              </w:rPr>
              <w:t>细化</w:t>
            </w:r>
            <w:r w:rsidRPr="00500999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常行为规范、学习研究守则和创新实践指南，严格课程学习和实践考核，</w:t>
            </w:r>
            <w:r w:rsidRPr="00500999">
              <w:rPr>
                <w:rFonts w:ascii="宋体" w:hAnsi="宋体" w:hint="eastAsia"/>
                <w:szCs w:val="21"/>
              </w:rPr>
              <w:t>有效实施研究生综合素质评价</w:t>
            </w:r>
            <w:r>
              <w:rPr>
                <w:rFonts w:ascii="宋体" w:hAnsi="宋体" w:hint="eastAsia"/>
                <w:szCs w:val="21"/>
              </w:rPr>
              <w:t>，对违反校规考纪</w:t>
            </w:r>
            <w:r w:rsidRPr="00500999">
              <w:rPr>
                <w:rFonts w:ascii="宋体" w:hAnsi="宋体" w:hint="eastAsia"/>
                <w:szCs w:val="21"/>
              </w:rPr>
              <w:t>、学术不端等问题</w:t>
            </w:r>
            <w:r>
              <w:rPr>
                <w:rFonts w:ascii="宋体" w:hAnsi="宋体" w:hint="eastAsia"/>
                <w:szCs w:val="21"/>
              </w:rPr>
              <w:t>严肃处理</w:t>
            </w:r>
            <w:r w:rsidRPr="00500999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123B" w:rsidTr="00132AE6">
        <w:trPr>
          <w:trHeight w:val="624"/>
        </w:trPr>
        <w:tc>
          <w:tcPr>
            <w:tcW w:w="755" w:type="dxa"/>
            <w:vMerge/>
            <w:vAlign w:val="center"/>
            <w:hideMark/>
          </w:tcPr>
          <w:p w:rsidR="007E123B" w:rsidRDefault="007E123B" w:rsidP="00132AE6"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3.9管理服务</w:t>
            </w:r>
          </w:p>
        </w:tc>
        <w:tc>
          <w:tcPr>
            <w:tcW w:w="2137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研究生权益保障制度建立情况，在学研究生学习满意度调查情</w:t>
            </w:r>
            <w:r>
              <w:rPr>
                <w:rFonts w:ascii="宋体" w:hAnsi="宋体" w:hint="eastAsia"/>
                <w:szCs w:val="21"/>
              </w:rPr>
              <w:lastRenderedPageBreak/>
              <w:t>况。</w:t>
            </w:r>
          </w:p>
        </w:tc>
        <w:tc>
          <w:tcPr>
            <w:tcW w:w="4853" w:type="dxa"/>
          </w:tcPr>
          <w:p w:rsidR="007E123B" w:rsidRPr="00DA3BF6" w:rsidRDefault="007E123B" w:rsidP="00132AE6">
            <w:pPr>
              <w:ind w:firstLineChars="218" w:firstLine="458"/>
            </w:pPr>
            <w:r w:rsidRPr="00DA3BF6">
              <w:rPr>
                <w:rFonts w:hint="eastAsia"/>
              </w:rPr>
              <w:lastRenderedPageBreak/>
              <w:t>确立</w:t>
            </w:r>
            <w:r>
              <w:rPr>
                <w:rFonts w:hint="eastAsia"/>
              </w:rPr>
              <w:t>以人为本</w:t>
            </w:r>
            <w:r w:rsidRPr="00DA3BF6">
              <w:rPr>
                <w:rFonts w:hint="eastAsia"/>
              </w:rPr>
              <w:t>理念，</w:t>
            </w:r>
            <w:r>
              <w:rPr>
                <w:rFonts w:hint="eastAsia"/>
              </w:rPr>
              <w:t>落实研究生</w:t>
            </w:r>
            <w:r w:rsidRPr="00DA3BF6">
              <w:rPr>
                <w:rFonts w:hint="eastAsia"/>
              </w:rPr>
              <w:t>权益保障制度</w:t>
            </w:r>
            <w:r>
              <w:rPr>
                <w:rFonts w:hint="eastAsia"/>
              </w:rPr>
              <w:t>和</w:t>
            </w:r>
            <w:r w:rsidRPr="00DA3BF6">
              <w:rPr>
                <w:rFonts w:hint="eastAsia"/>
              </w:rPr>
              <w:t>自主管理机制，</w:t>
            </w:r>
            <w:r>
              <w:rPr>
                <w:rFonts w:hint="eastAsia"/>
              </w:rPr>
              <w:t>畅通研究生与导师、管理部门的沟通渠道，</w:t>
            </w:r>
            <w:r w:rsidRPr="00DA3BF6">
              <w:rPr>
                <w:rFonts w:hint="eastAsia"/>
              </w:rPr>
              <w:t>定期开展在学研究生满意度调查</w:t>
            </w:r>
            <w:r>
              <w:rPr>
                <w:rFonts w:hint="eastAsia"/>
              </w:rPr>
              <w:t>并改进管理服务</w:t>
            </w:r>
            <w:r w:rsidRPr="00DA3BF6">
              <w:rPr>
                <w:rFonts w:hint="eastAsia"/>
              </w:rPr>
              <w:t>，学生满意度较高</w:t>
            </w:r>
            <w:r>
              <w:rPr>
                <w:rFonts w:hint="eastAsia"/>
              </w:rPr>
              <w:t>。</w:t>
            </w:r>
          </w:p>
        </w:tc>
      </w:tr>
      <w:tr w:rsidR="007E123B" w:rsidTr="00132AE6">
        <w:trPr>
          <w:trHeight w:val="204"/>
        </w:trPr>
        <w:tc>
          <w:tcPr>
            <w:tcW w:w="755" w:type="dxa"/>
            <w:vMerge/>
            <w:vAlign w:val="center"/>
            <w:hideMark/>
          </w:tcPr>
          <w:p w:rsidR="007E123B" w:rsidRDefault="007E123B" w:rsidP="00132AE6"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0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3.10就业发展</w:t>
            </w:r>
          </w:p>
        </w:tc>
        <w:tc>
          <w:tcPr>
            <w:tcW w:w="2137" w:type="dxa"/>
            <w:vAlign w:val="center"/>
            <w:hideMark/>
          </w:tcPr>
          <w:p w:rsidR="007E123B" w:rsidRDefault="007E123B" w:rsidP="00132AE6">
            <w:pPr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本学位点毕业研究生的就业率、就业去向分析，用人单位意见反馈和毕业生发展质量调查情况。</w:t>
            </w:r>
          </w:p>
        </w:tc>
        <w:tc>
          <w:tcPr>
            <w:tcW w:w="4853" w:type="dxa"/>
            <w:vAlign w:val="center"/>
          </w:tcPr>
          <w:p w:rsidR="007E123B" w:rsidRDefault="007E123B" w:rsidP="00E62F89">
            <w:pPr>
              <w:ind w:firstLineChars="218" w:firstLine="458"/>
            </w:pPr>
            <w:r w:rsidRPr="00DA3BF6">
              <w:rPr>
                <w:rFonts w:hint="eastAsia"/>
              </w:rPr>
              <w:t>加强研究生</w:t>
            </w:r>
            <w:r w:rsidR="00E62F89">
              <w:rPr>
                <w:rFonts w:hint="eastAsia"/>
              </w:rPr>
              <w:t>创新</w:t>
            </w:r>
            <w:r w:rsidRPr="00DA3BF6">
              <w:rPr>
                <w:rFonts w:hint="eastAsia"/>
              </w:rPr>
              <w:t>创业能力培养和就业</w:t>
            </w:r>
            <w:r>
              <w:rPr>
                <w:rFonts w:hint="eastAsia"/>
              </w:rPr>
              <w:t>升学</w:t>
            </w:r>
            <w:r w:rsidRPr="00DA3BF6">
              <w:rPr>
                <w:rFonts w:hint="eastAsia"/>
              </w:rPr>
              <w:t>指导，近</w:t>
            </w:r>
            <w:r w:rsidRPr="00DA3BF6">
              <w:rPr>
                <w:rFonts w:hint="eastAsia"/>
              </w:rPr>
              <w:t>5</w:t>
            </w:r>
            <w:r w:rsidRPr="00DA3BF6">
              <w:rPr>
                <w:rFonts w:hint="eastAsia"/>
              </w:rPr>
              <w:t>年涌现一定数量的优秀毕业生并有相应的代表性成果；毕业生跟踪调查、质量分析报告制度健全，毕业生就业率、专业相关度、职业发展满意率、用人单位综合满意率较高。</w:t>
            </w:r>
          </w:p>
        </w:tc>
      </w:tr>
    </w:tbl>
    <w:p w:rsidR="007E4A8C" w:rsidRPr="007E123B" w:rsidRDefault="007E4A8C" w:rsidP="007E123B">
      <w:pPr>
        <w:ind w:rightChars="-227" w:right="-477"/>
        <w:jc w:val="left"/>
        <w:rPr>
          <w:rFonts w:ascii="仿宋" w:eastAsia="仿宋" w:hAnsi="仿宋"/>
          <w:sz w:val="32"/>
          <w:szCs w:val="32"/>
        </w:rPr>
      </w:pPr>
    </w:p>
    <w:sectPr w:rsidR="007E4A8C" w:rsidRPr="007E123B" w:rsidSect="000910CD">
      <w:footerReference w:type="default" r:id="rId6"/>
      <w:pgSz w:w="11906" w:h="16838"/>
      <w:pgMar w:top="1440" w:right="1797" w:bottom="20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3AE" w:rsidRDefault="006613AE" w:rsidP="007E123B">
      <w:pPr>
        <w:spacing w:after="0"/>
      </w:pPr>
      <w:r>
        <w:separator/>
      </w:r>
    </w:p>
  </w:endnote>
  <w:endnote w:type="continuationSeparator" w:id="0">
    <w:p w:rsidR="006613AE" w:rsidRDefault="006613AE" w:rsidP="007E123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0400948"/>
      <w:docPartObj>
        <w:docPartGallery w:val="Page Numbers (Bottom of Page)"/>
        <w:docPartUnique/>
      </w:docPartObj>
    </w:sdtPr>
    <w:sdtContent>
      <w:p w:rsidR="007E123B" w:rsidRDefault="00C22C17">
        <w:pPr>
          <w:pStyle w:val="a4"/>
          <w:jc w:val="center"/>
        </w:pPr>
        <w:r>
          <w:fldChar w:fldCharType="begin"/>
        </w:r>
        <w:r w:rsidR="007E123B">
          <w:instrText>PAGE   \* MERGEFORMAT</w:instrText>
        </w:r>
        <w:r>
          <w:fldChar w:fldCharType="separate"/>
        </w:r>
        <w:r w:rsidR="00134377" w:rsidRPr="00134377">
          <w:rPr>
            <w:noProof/>
            <w:lang w:val="zh-CN"/>
          </w:rPr>
          <w:t>2</w:t>
        </w:r>
        <w:r>
          <w:fldChar w:fldCharType="end"/>
        </w:r>
      </w:p>
    </w:sdtContent>
  </w:sdt>
  <w:p w:rsidR="007E123B" w:rsidRDefault="007E12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3AE" w:rsidRDefault="006613AE" w:rsidP="007E123B">
      <w:pPr>
        <w:spacing w:after="0"/>
      </w:pPr>
      <w:r>
        <w:separator/>
      </w:r>
    </w:p>
  </w:footnote>
  <w:footnote w:type="continuationSeparator" w:id="0">
    <w:p w:rsidR="006613AE" w:rsidRDefault="006613AE" w:rsidP="007E123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29A"/>
    <w:rsid w:val="000239D3"/>
    <w:rsid w:val="000910CD"/>
    <w:rsid w:val="00094558"/>
    <w:rsid w:val="000C3D2D"/>
    <w:rsid w:val="00134377"/>
    <w:rsid w:val="002176E0"/>
    <w:rsid w:val="00275588"/>
    <w:rsid w:val="002927E6"/>
    <w:rsid w:val="002D522E"/>
    <w:rsid w:val="00334B7C"/>
    <w:rsid w:val="0040177D"/>
    <w:rsid w:val="00407D91"/>
    <w:rsid w:val="004B5200"/>
    <w:rsid w:val="004C3EAE"/>
    <w:rsid w:val="005477B5"/>
    <w:rsid w:val="006613AE"/>
    <w:rsid w:val="006A242B"/>
    <w:rsid w:val="0077745F"/>
    <w:rsid w:val="00783199"/>
    <w:rsid w:val="007B5658"/>
    <w:rsid w:val="007D6042"/>
    <w:rsid w:val="007E123B"/>
    <w:rsid w:val="007E4A8C"/>
    <w:rsid w:val="00911AC3"/>
    <w:rsid w:val="00983B05"/>
    <w:rsid w:val="009B06C2"/>
    <w:rsid w:val="009E3E85"/>
    <w:rsid w:val="00AC70C9"/>
    <w:rsid w:val="00B8297C"/>
    <w:rsid w:val="00C22C17"/>
    <w:rsid w:val="00CE3C79"/>
    <w:rsid w:val="00CE3EA3"/>
    <w:rsid w:val="00CE4C97"/>
    <w:rsid w:val="00CF3237"/>
    <w:rsid w:val="00E46CAA"/>
    <w:rsid w:val="00E51BBC"/>
    <w:rsid w:val="00E62F89"/>
    <w:rsid w:val="00E75FA0"/>
    <w:rsid w:val="00EE529A"/>
    <w:rsid w:val="00F4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2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C3D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C3D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C3D2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C3D2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7E1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1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1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123B"/>
    <w:rPr>
      <w:sz w:val="18"/>
      <w:szCs w:val="18"/>
    </w:rPr>
  </w:style>
  <w:style w:type="paragraph" w:styleId="a5">
    <w:name w:val="caption"/>
    <w:basedOn w:val="a"/>
    <w:next w:val="a"/>
    <w:semiHidden/>
    <w:unhideWhenUsed/>
    <w:qFormat/>
    <w:rsid w:val="007E123B"/>
    <w:pPr>
      <w:spacing w:after="0"/>
    </w:pPr>
    <w:rPr>
      <w:rFonts w:ascii="Calibri" w:eastAsia="宋体" w:hAnsi="Calibri" w:cs="Times New Roman"/>
      <w:sz w:val="20"/>
      <w:szCs w:val="20"/>
    </w:rPr>
  </w:style>
  <w:style w:type="table" w:styleId="a6">
    <w:name w:val="Table Grid"/>
    <w:basedOn w:val="a1"/>
    <w:uiPriority w:val="59"/>
    <w:rsid w:val="007E123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7E123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E1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2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C3D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C3D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C3D2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C3D2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7E1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1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1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123B"/>
    <w:rPr>
      <w:sz w:val="18"/>
      <w:szCs w:val="18"/>
    </w:rPr>
  </w:style>
  <w:style w:type="paragraph" w:styleId="a5">
    <w:name w:val="caption"/>
    <w:basedOn w:val="a"/>
    <w:next w:val="a"/>
    <w:semiHidden/>
    <w:unhideWhenUsed/>
    <w:qFormat/>
    <w:rsid w:val="007E123B"/>
    <w:pPr>
      <w:spacing w:after="0"/>
    </w:pPr>
    <w:rPr>
      <w:rFonts w:ascii="Calibri" w:eastAsia="宋体" w:hAnsi="Calibri" w:cs="Times New Roman"/>
      <w:sz w:val="20"/>
      <w:szCs w:val="20"/>
    </w:rPr>
  </w:style>
  <w:style w:type="table" w:styleId="a6">
    <w:name w:val="Table Grid"/>
    <w:basedOn w:val="a1"/>
    <w:uiPriority w:val="59"/>
    <w:rsid w:val="007E123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7E123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E12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hetianxu</cp:lastModifiedBy>
  <cp:revision>14</cp:revision>
  <dcterms:created xsi:type="dcterms:W3CDTF">2018-12-18T01:09:00Z</dcterms:created>
  <dcterms:modified xsi:type="dcterms:W3CDTF">2019-01-02T02:50:00Z</dcterms:modified>
</cp:coreProperties>
</file>